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5E8A6" w14:textId="77777777" w:rsidR="004712B3" w:rsidRDefault="004712B3" w:rsidP="004712B3">
      <w:pPr>
        <w:jc w:val="center"/>
      </w:pPr>
    </w:p>
    <w:p w14:paraId="40AB048B" w14:textId="77777777" w:rsidR="00AC74B9" w:rsidRDefault="00757D0E" w:rsidP="004712B3">
      <w:pPr>
        <w:jc w:val="center"/>
      </w:pPr>
      <w:r w:rsidRPr="00757D0E">
        <w:rPr>
          <w:noProof/>
          <w:lang w:eastAsia="fr-FR"/>
        </w:rPr>
        <w:drawing>
          <wp:inline distT="0" distB="0" distL="0" distR="0" wp14:anchorId="339D8EF1" wp14:editId="3E8171D1">
            <wp:extent cx="2679700" cy="1968500"/>
            <wp:effectExtent l="0" t="0" r="6350" b="0"/>
            <wp:docPr id="2" name="Image 2" descr="H:\Formulaires\1_MESR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ormulaires\1_MESR_RV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A12F9" w14:textId="77777777" w:rsidR="00DA6339" w:rsidRDefault="00DA6339" w:rsidP="00AC74B9"/>
    <w:p w14:paraId="7816C96C" w14:textId="77777777" w:rsidR="004712B3" w:rsidRDefault="004712B3" w:rsidP="00AC74B9"/>
    <w:p w14:paraId="1D3A34E4" w14:textId="77777777" w:rsidR="004712B3" w:rsidRDefault="004712B3" w:rsidP="00AC74B9"/>
    <w:p w14:paraId="5D0BBDA8" w14:textId="77777777" w:rsidR="004712B3" w:rsidRDefault="004712B3" w:rsidP="00AC74B9"/>
    <w:p w14:paraId="2677C407" w14:textId="77777777" w:rsidR="00D5459F" w:rsidRPr="00A02E70" w:rsidRDefault="00AC74B9" w:rsidP="00AC74B9">
      <w:pPr>
        <w:pStyle w:val="Titre1"/>
        <w:jc w:val="center"/>
      </w:pPr>
      <w:bookmarkStart w:id="0" w:name="_Toc147328741"/>
      <w:r w:rsidRPr="00A02E70">
        <w:t>Appel à manifestation d’intérêt</w:t>
      </w:r>
      <w:bookmarkEnd w:id="0"/>
    </w:p>
    <w:p w14:paraId="5BA80CE5" w14:textId="77777777" w:rsidR="00AC74B9" w:rsidRPr="00AC74B9" w:rsidRDefault="00C619C0" w:rsidP="00814532">
      <w:pPr>
        <w:pStyle w:val="Sous-titre"/>
        <w:jc w:val="center"/>
      </w:pPr>
      <w:bookmarkStart w:id="1" w:name="_Toc435627198"/>
      <w:r>
        <w:t>Désignation de l’é</w:t>
      </w:r>
      <w:r w:rsidR="00AC74B9" w:rsidRPr="00AC74B9">
        <w:t>tablissement porteur</w:t>
      </w:r>
      <w:r>
        <w:t xml:space="preserve"> du</w:t>
      </w:r>
      <w:bookmarkEnd w:id="1"/>
    </w:p>
    <w:p w14:paraId="59038A8D" w14:textId="042DCCDD" w:rsidR="00AC74B9" w:rsidRDefault="00FE7958" w:rsidP="00814532">
      <w:pPr>
        <w:pStyle w:val="Sous-titre"/>
        <w:jc w:val="center"/>
      </w:pPr>
      <w:bookmarkStart w:id="2" w:name="_Toc435627199"/>
      <w:r>
        <w:t>Groupement d’i</w:t>
      </w:r>
      <w:r w:rsidR="00AC74B9" w:rsidRPr="00AC74B9">
        <w:t>nté</w:t>
      </w:r>
      <w:r>
        <w:t>rêt s</w:t>
      </w:r>
      <w:r w:rsidR="00CB3B1B">
        <w:t>cientifique</w:t>
      </w:r>
      <w:proofErr w:type="gramStart"/>
      <w:r w:rsidR="00CB3B1B">
        <w:t xml:space="preserve"> «</w:t>
      </w:r>
      <w:proofErr w:type="spellStart"/>
      <w:r w:rsidR="00CB3B1B">
        <w:t>CollEx</w:t>
      </w:r>
      <w:proofErr w:type="spellEnd"/>
      <w:proofErr w:type="gramEnd"/>
      <w:r w:rsidR="00CB3B1B">
        <w:t>-Persée</w:t>
      </w:r>
      <w:r w:rsidR="00AC74B9" w:rsidRPr="00AC74B9">
        <w:t>»</w:t>
      </w:r>
      <w:bookmarkEnd w:id="2"/>
    </w:p>
    <w:p w14:paraId="77E7297F" w14:textId="77777777" w:rsidR="000B4D02" w:rsidRDefault="000B4D02" w:rsidP="000B4D02"/>
    <w:p w14:paraId="7A2FEB03" w14:textId="333B8AA9" w:rsidR="000B4D02" w:rsidRPr="00BD0A5E" w:rsidRDefault="000B4D02" w:rsidP="000B4D02">
      <w:pPr>
        <w:jc w:val="center"/>
        <w:rPr>
          <w:sz w:val="24"/>
          <w:szCs w:val="24"/>
        </w:rPr>
      </w:pPr>
      <w:r w:rsidRPr="00AD2C45">
        <w:rPr>
          <w:b/>
          <w:sz w:val="24"/>
          <w:szCs w:val="24"/>
        </w:rPr>
        <w:t xml:space="preserve">Lancement : </w:t>
      </w:r>
      <w:r w:rsidR="008810C4">
        <w:rPr>
          <w:b/>
          <w:sz w:val="24"/>
          <w:szCs w:val="24"/>
        </w:rPr>
        <w:t>0</w:t>
      </w:r>
      <w:r w:rsidR="00DC3992">
        <w:rPr>
          <w:b/>
          <w:sz w:val="24"/>
          <w:szCs w:val="24"/>
        </w:rPr>
        <w:t>6</w:t>
      </w:r>
      <w:r w:rsidR="00FA0391">
        <w:rPr>
          <w:b/>
          <w:sz w:val="24"/>
          <w:szCs w:val="24"/>
        </w:rPr>
        <w:t xml:space="preserve"> octobre</w:t>
      </w:r>
      <w:r w:rsidR="00814532">
        <w:rPr>
          <w:b/>
          <w:sz w:val="24"/>
          <w:szCs w:val="24"/>
        </w:rPr>
        <w:t xml:space="preserve"> 2023</w:t>
      </w:r>
    </w:p>
    <w:p w14:paraId="1B57D84A" w14:textId="6168B1BF" w:rsidR="000B4D02" w:rsidRPr="00AD2C45" w:rsidRDefault="000B4D02" w:rsidP="000B4D02">
      <w:pPr>
        <w:jc w:val="center"/>
        <w:rPr>
          <w:b/>
          <w:sz w:val="24"/>
          <w:szCs w:val="24"/>
        </w:rPr>
      </w:pPr>
      <w:r w:rsidRPr="00AD2C45">
        <w:rPr>
          <w:b/>
          <w:sz w:val="24"/>
          <w:szCs w:val="24"/>
        </w:rPr>
        <w:t xml:space="preserve">Clôture : </w:t>
      </w:r>
      <w:r w:rsidR="00DC3992">
        <w:rPr>
          <w:b/>
          <w:sz w:val="24"/>
          <w:szCs w:val="24"/>
        </w:rPr>
        <w:t>06</w:t>
      </w:r>
      <w:r w:rsidR="00FA0391">
        <w:rPr>
          <w:b/>
          <w:sz w:val="24"/>
          <w:szCs w:val="24"/>
        </w:rPr>
        <w:t xml:space="preserve"> novembre</w:t>
      </w:r>
      <w:r w:rsidR="00814532">
        <w:rPr>
          <w:b/>
          <w:sz w:val="24"/>
          <w:szCs w:val="24"/>
        </w:rPr>
        <w:t xml:space="preserve"> 2023</w:t>
      </w:r>
    </w:p>
    <w:p w14:paraId="14114EA6" w14:textId="77777777" w:rsidR="004712B3" w:rsidRPr="00AD2C45" w:rsidRDefault="004712B3" w:rsidP="00AD2C45">
      <w:pPr>
        <w:rPr>
          <w:b/>
          <w:color w:val="1F497D" w:themeColor="text2"/>
          <w:sz w:val="24"/>
          <w:szCs w:val="24"/>
        </w:rPr>
      </w:pPr>
    </w:p>
    <w:p w14:paraId="7702FFE2" w14:textId="77777777" w:rsidR="004712B3" w:rsidRDefault="004712B3" w:rsidP="004712B3">
      <w:pPr>
        <w:rPr>
          <w:b/>
          <w:color w:val="1F497D" w:themeColor="text2"/>
          <w:sz w:val="24"/>
          <w:szCs w:val="24"/>
        </w:rPr>
      </w:pPr>
    </w:p>
    <w:p w14:paraId="491F692D" w14:textId="77777777" w:rsidR="00D93276" w:rsidRDefault="00D93276" w:rsidP="004712B3">
      <w:pPr>
        <w:rPr>
          <w:b/>
          <w:color w:val="1F497D" w:themeColor="text2"/>
          <w:sz w:val="24"/>
          <w:szCs w:val="24"/>
        </w:rPr>
      </w:pPr>
    </w:p>
    <w:p w14:paraId="5512C8BA" w14:textId="77777777" w:rsidR="00D93276" w:rsidRDefault="00D93276" w:rsidP="004712B3">
      <w:pPr>
        <w:rPr>
          <w:b/>
          <w:color w:val="1F497D" w:themeColor="text2"/>
          <w:sz w:val="24"/>
          <w:szCs w:val="24"/>
        </w:rPr>
      </w:pPr>
    </w:p>
    <w:p w14:paraId="4CAB5831" w14:textId="77777777" w:rsidR="004712B3" w:rsidRPr="004712B3" w:rsidRDefault="004712B3" w:rsidP="004712B3">
      <w:pPr>
        <w:rPr>
          <w:b/>
          <w:color w:val="1F497D" w:themeColor="text2"/>
          <w:sz w:val="24"/>
          <w:szCs w:val="24"/>
        </w:rPr>
      </w:pPr>
    </w:p>
    <w:p w14:paraId="64633AB9" w14:textId="77777777" w:rsidR="00D93276" w:rsidRPr="004712B3" w:rsidRDefault="00D93276" w:rsidP="00D93276">
      <w:pPr>
        <w:spacing w:after="0"/>
        <w:jc w:val="center"/>
        <w:rPr>
          <w:sz w:val="24"/>
          <w:szCs w:val="24"/>
        </w:rPr>
      </w:pPr>
      <w:r w:rsidRPr="004712B3">
        <w:rPr>
          <w:sz w:val="24"/>
          <w:szCs w:val="24"/>
        </w:rPr>
        <w:t>Mini</w:t>
      </w:r>
      <w:r w:rsidR="00CB3B1B">
        <w:rPr>
          <w:sz w:val="24"/>
          <w:szCs w:val="24"/>
        </w:rPr>
        <w:t xml:space="preserve">stère </w:t>
      </w:r>
      <w:r w:rsidRPr="004712B3">
        <w:rPr>
          <w:sz w:val="24"/>
          <w:szCs w:val="24"/>
        </w:rPr>
        <w:t xml:space="preserve">de </w:t>
      </w:r>
      <w:r w:rsidR="00CB3B1B">
        <w:rPr>
          <w:sz w:val="24"/>
          <w:szCs w:val="24"/>
        </w:rPr>
        <w:t>l’E</w:t>
      </w:r>
      <w:r w:rsidRPr="004712B3">
        <w:rPr>
          <w:sz w:val="24"/>
          <w:szCs w:val="24"/>
        </w:rPr>
        <w:t>nseignement supérieur et de la recherche</w:t>
      </w:r>
    </w:p>
    <w:p w14:paraId="4DD0ACC3" w14:textId="7153BD07" w:rsidR="00D93276" w:rsidRPr="004712B3" w:rsidRDefault="00A1666F" w:rsidP="00D9327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Service de la C</w:t>
      </w:r>
      <w:r w:rsidR="00D93276" w:rsidRPr="004712B3">
        <w:rPr>
          <w:sz w:val="24"/>
          <w:szCs w:val="24"/>
        </w:rPr>
        <w:t>o</w:t>
      </w:r>
      <w:r w:rsidR="00665332">
        <w:rPr>
          <w:sz w:val="24"/>
          <w:szCs w:val="24"/>
        </w:rPr>
        <w:t>ordination des stratégies de l’enseignement supérieur et de la r</w:t>
      </w:r>
      <w:r w:rsidR="00D93276" w:rsidRPr="004712B3">
        <w:rPr>
          <w:sz w:val="24"/>
          <w:szCs w:val="24"/>
        </w:rPr>
        <w:t>echerche</w:t>
      </w:r>
    </w:p>
    <w:p w14:paraId="5980A1B6" w14:textId="20D6E85A" w:rsidR="004712B3" w:rsidRPr="00D93276" w:rsidRDefault="00CB3B1B" w:rsidP="00D9327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Sous-direction Territoires, société</w:t>
      </w:r>
      <w:r w:rsidR="00BD3CF6">
        <w:rPr>
          <w:sz w:val="24"/>
          <w:szCs w:val="24"/>
        </w:rPr>
        <w:t xml:space="preserve"> et</w:t>
      </w:r>
      <w:r>
        <w:rPr>
          <w:sz w:val="24"/>
          <w:szCs w:val="24"/>
        </w:rPr>
        <w:t xml:space="preserve"> savoirs</w:t>
      </w:r>
    </w:p>
    <w:p w14:paraId="36C89A09" w14:textId="77777777" w:rsidR="004712B3" w:rsidRPr="004712B3" w:rsidRDefault="00CB3B1B" w:rsidP="004712B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Département Diffusion des connaissance et documentation</w:t>
      </w:r>
    </w:p>
    <w:sdt>
      <w:sdt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id w:val="1777676170"/>
        <w:docPartObj>
          <w:docPartGallery w:val="Table of Contents"/>
          <w:docPartUnique/>
        </w:docPartObj>
      </w:sdtPr>
      <w:sdtEndPr>
        <w:rPr>
          <w:rFonts w:eastAsiaTheme="minorEastAsia"/>
          <w:b w:val="0"/>
          <w:bCs w:val="0"/>
          <w:sz w:val="21"/>
          <w:szCs w:val="21"/>
        </w:rPr>
      </w:sdtEndPr>
      <w:sdtContent>
        <w:p w14:paraId="48CA19B8" w14:textId="77777777" w:rsidR="00C35FFE" w:rsidRDefault="00C35FFE">
          <w:pPr>
            <w:pStyle w:val="En-ttedetabledesmatires"/>
          </w:pPr>
          <w:r>
            <w:t>Table des matières</w:t>
          </w:r>
        </w:p>
        <w:p w14:paraId="6F63D02D" w14:textId="33786727" w:rsidR="00B40F04" w:rsidRDefault="00C35FFE">
          <w:pPr>
            <w:pStyle w:val="TM1"/>
            <w:tabs>
              <w:tab w:val="right" w:leader="dot" w:pos="9062"/>
            </w:tabs>
            <w:rPr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7328741" w:history="1">
            <w:r w:rsidR="00B40F04" w:rsidRPr="00F00614">
              <w:rPr>
                <w:rStyle w:val="Lienhypertexte"/>
                <w:noProof/>
              </w:rPr>
              <w:t>Appel à manifestation d’intérêt</w:t>
            </w:r>
            <w:r w:rsidR="00B40F04">
              <w:rPr>
                <w:noProof/>
                <w:webHidden/>
              </w:rPr>
              <w:tab/>
            </w:r>
            <w:r w:rsidR="00B40F04">
              <w:rPr>
                <w:noProof/>
                <w:webHidden/>
              </w:rPr>
              <w:fldChar w:fldCharType="begin"/>
            </w:r>
            <w:r w:rsidR="00B40F04">
              <w:rPr>
                <w:noProof/>
                <w:webHidden/>
              </w:rPr>
              <w:instrText xml:space="preserve"> PAGEREF _Toc147328741 \h </w:instrText>
            </w:r>
            <w:r w:rsidR="00B40F04">
              <w:rPr>
                <w:noProof/>
                <w:webHidden/>
              </w:rPr>
            </w:r>
            <w:r w:rsidR="00B40F04">
              <w:rPr>
                <w:noProof/>
                <w:webHidden/>
              </w:rPr>
              <w:fldChar w:fldCharType="separate"/>
            </w:r>
            <w:r w:rsidR="000A2FB0">
              <w:rPr>
                <w:noProof/>
                <w:webHidden/>
              </w:rPr>
              <w:t>1</w:t>
            </w:r>
            <w:r w:rsidR="00B40F04">
              <w:rPr>
                <w:noProof/>
                <w:webHidden/>
              </w:rPr>
              <w:fldChar w:fldCharType="end"/>
            </w:r>
          </w:hyperlink>
        </w:p>
        <w:p w14:paraId="6336415C" w14:textId="60F45414" w:rsidR="00B40F04" w:rsidRDefault="00405904">
          <w:pPr>
            <w:pStyle w:val="TM1"/>
            <w:tabs>
              <w:tab w:val="left" w:pos="440"/>
              <w:tab w:val="right" w:leader="dot" w:pos="9062"/>
            </w:tabs>
            <w:rPr>
              <w:noProof/>
              <w:sz w:val="22"/>
              <w:szCs w:val="22"/>
            </w:rPr>
          </w:pPr>
          <w:hyperlink w:anchor="_Toc147328742" w:history="1">
            <w:r w:rsidR="00B40F04" w:rsidRPr="00F00614">
              <w:rPr>
                <w:rStyle w:val="Lienhypertexte"/>
                <w:noProof/>
              </w:rPr>
              <w:t>1.</w:t>
            </w:r>
            <w:r w:rsidR="00B40F04">
              <w:rPr>
                <w:noProof/>
                <w:sz w:val="22"/>
                <w:szCs w:val="22"/>
              </w:rPr>
              <w:tab/>
            </w:r>
            <w:r w:rsidR="00B40F04" w:rsidRPr="00F00614">
              <w:rPr>
                <w:rStyle w:val="Lienhypertexte"/>
                <w:noProof/>
              </w:rPr>
              <w:t>Éléments de contexte</w:t>
            </w:r>
            <w:r w:rsidR="00B40F04">
              <w:rPr>
                <w:noProof/>
                <w:webHidden/>
              </w:rPr>
              <w:tab/>
            </w:r>
            <w:r w:rsidR="00B40F04">
              <w:rPr>
                <w:noProof/>
                <w:webHidden/>
              </w:rPr>
              <w:fldChar w:fldCharType="begin"/>
            </w:r>
            <w:r w:rsidR="00B40F04">
              <w:rPr>
                <w:noProof/>
                <w:webHidden/>
              </w:rPr>
              <w:instrText xml:space="preserve"> PAGEREF _Toc147328742 \h </w:instrText>
            </w:r>
            <w:r w:rsidR="00B40F04">
              <w:rPr>
                <w:noProof/>
                <w:webHidden/>
              </w:rPr>
            </w:r>
            <w:r w:rsidR="00B40F04">
              <w:rPr>
                <w:noProof/>
                <w:webHidden/>
              </w:rPr>
              <w:fldChar w:fldCharType="separate"/>
            </w:r>
            <w:r w:rsidR="000A2FB0">
              <w:rPr>
                <w:noProof/>
                <w:webHidden/>
              </w:rPr>
              <w:t>3</w:t>
            </w:r>
            <w:r w:rsidR="00B40F04">
              <w:rPr>
                <w:noProof/>
                <w:webHidden/>
              </w:rPr>
              <w:fldChar w:fldCharType="end"/>
            </w:r>
          </w:hyperlink>
        </w:p>
        <w:p w14:paraId="33765FBB" w14:textId="7CBC6E9C" w:rsidR="00B40F04" w:rsidRDefault="00405904">
          <w:pPr>
            <w:pStyle w:val="TM2"/>
            <w:tabs>
              <w:tab w:val="right" w:leader="dot" w:pos="9062"/>
            </w:tabs>
            <w:rPr>
              <w:noProof/>
              <w:sz w:val="22"/>
              <w:szCs w:val="22"/>
            </w:rPr>
          </w:pPr>
          <w:hyperlink w:anchor="_Toc147328743" w:history="1">
            <w:r w:rsidR="00B40F04" w:rsidRPr="00F00614">
              <w:rPr>
                <w:rStyle w:val="Lienhypertexte"/>
                <w:noProof/>
              </w:rPr>
              <w:t>1.1 CollEx-Persée et la constitution du Groupement d’intérêt scientifique (GIS)</w:t>
            </w:r>
            <w:r w:rsidR="00B40F04">
              <w:rPr>
                <w:noProof/>
                <w:webHidden/>
              </w:rPr>
              <w:tab/>
            </w:r>
            <w:r w:rsidR="00B40F04">
              <w:rPr>
                <w:noProof/>
                <w:webHidden/>
              </w:rPr>
              <w:fldChar w:fldCharType="begin"/>
            </w:r>
            <w:r w:rsidR="00B40F04">
              <w:rPr>
                <w:noProof/>
                <w:webHidden/>
              </w:rPr>
              <w:instrText xml:space="preserve"> PAGEREF _Toc147328743 \h </w:instrText>
            </w:r>
            <w:r w:rsidR="00B40F04">
              <w:rPr>
                <w:noProof/>
                <w:webHidden/>
              </w:rPr>
            </w:r>
            <w:r w:rsidR="00B40F04">
              <w:rPr>
                <w:noProof/>
                <w:webHidden/>
              </w:rPr>
              <w:fldChar w:fldCharType="separate"/>
            </w:r>
            <w:r w:rsidR="000A2FB0">
              <w:rPr>
                <w:noProof/>
                <w:webHidden/>
              </w:rPr>
              <w:t>3</w:t>
            </w:r>
            <w:r w:rsidR="00B40F04">
              <w:rPr>
                <w:noProof/>
                <w:webHidden/>
              </w:rPr>
              <w:fldChar w:fldCharType="end"/>
            </w:r>
          </w:hyperlink>
        </w:p>
        <w:p w14:paraId="5F4365B1" w14:textId="7A667CCB" w:rsidR="00B40F04" w:rsidRDefault="00405904">
          <w:pPr>
            <w:pStyle w:val="TM2"/>
            <w:tabs>
              <w:tab w:val="right" w:leader="dot" w:pos="9062"/>
            </w:tabs>
            <w:rPr>
              <w:noProof/>
              <w:sz w:val="22"/>
              <w:szCs w:val="22"/>
            </w:rPr>
          </w:pPr>
          <w:hyperlink w:anchor="_Toc147328744" w:history="1">
            <w:r w:rsidR="00B40F04" w:rsidRPr="00F00614">
              <w:rPr>
                <w:rStyle w:val="Lienhypertexte"/>
                <w:noProof/>
              </w:rPr>
              <w:t>1.2 Rôle de l’établissement porteur</w:t>
            </w:r>
            <w:r w:rsidR="00B40F04">
              <w:rPr>
                <w:noProof/>
                <w:webHidden/>
              </w:rPr>
              <w:tab/>
            </w:r>
            <w:r w:rsidR="00B40F04">
              <w:rPr>
                <w:noProof/>
                <w:webHidden/>
              </w:rPr>
              <w:fldChar w:fldCharType="begin"/>
            </w:r>
            <w:r w:rsidR="00B40F04">
              <w:rPr>
                <w:noProof/>
                <w:webHidden/>
              </w:rPr>
              <w:instrText xml:space="preserve"> PAGEREF _Toc147328744 \h </w:instrText>
            </w:r>
            <w:r w:rsidR="00B40F04">
              <w:rPr>
                <w:noProof/>
                <w:webHidden/>
              </w:rPr>
            </w:r>
            <w:r w:rsidR="00B40F04">
              <w:rPr>
                <w:noProof/>
                <w:webHidden/>
              </w:rPr>
              <w:fldChar w:fldCharType="separate"/>
            </w:r>
            <w:r w:rsidR="000A2FB0">
              <w:rPr>
                <w:noProof/>
                <w:webHidden/>
              </w:rPr>
              <w:t>3</w:t>
            </w:r>
            <w:r w:rsidR="00B40F04">
              <w:rPr>
                <w:noProof/>
                <w:webHidden/>
              </w:rPr>
              <w:fldChar w:fldCharType="end"/>
            </w:r>
          </w:hyperlink>
        </w:p>
        <w:p w14:paraId="37A1328F" w14:textId="34C54C7A" w:rsidR="00B40F04" w:rsidRDefault="00405904">
          <w:pPr>
            <w:pStyle w:val="TM1"/>
            <w:tabs>
              <w:tab w:val="right" w:leader="dot" w:pos="9062"/>
            </w:tabs>
            <w:rPr>
              <w:noProof/>
              <w:sz w:val="22"/>
              <w:szCs w:val="22"/>
            </w:rPr>
          </w:pPr>
          <w:hyperlink w:anchor="_Toc147328745" w:history="1">
            <w:r w:rsidR="00B40F04" w:rsidRPr="00F00614">
              <w:rPr>
                <w:rStyle w:val="Lienhypertexte"/>
                <w:noProof/>
              </w:rPr>
              <w:t>2. Objectifs de l’appel à manifestation d’intérêt</w:t>
            </w:r>
            <w:r w:rsidR="00B40F04">
              <w:rPr>
                <w:noProof/>
                <w:webHidden/>
              </w:rPr>
              <w:tab/>
            </w:r>
            <w:r w:rsidR="00B40F04">
              <w:rPr>
                <w:noProof/>
                <w:webHidden/>
              </w:rPr>
              <w:fldChar w:fldCharType="begin"/>
            </w:r>
            <w:r w:rsidR="00B40F04">
              <w:rPr>
                <w:noProof/>
                <w:webHidden/>
              </w:rPr>
              <w:instrText xml:space="preserve"> PAGEREF _Toc147328745 \h </w:instrText>
            </w:r>
            <w:r w:rsidR="00B40F04">
              <w:rPr>
                <w:noProof/>
                <w:webHidden/>
              </w:rPr>
            </w:r>
            <w:r w:rsidR="00B40F04">
              <w:rPr>
                <w:noProof/>
                <w:webHidden/>
              </w:rPr>
              <w:fldChar w:fldCharType="separate"/>
            </w:r>
            <w:r w:rsidR="000A2FB0">
              <w:rPr>
                <w:noProof/>
                <w:webHidden/>
              </w:rPr>
              <w:t>4</w:t>
            </w:r>
            <w:r w:rsidR="00B40F04">
              <w:rPr>
                <w:noProof/>
                <w:webHidden/>
              </w:rPr>
              <w:fldChar w:fldCharType="end"/>
            </w:r>
          </w:hyperlink>
        </w:p>
        <w:p w14:paraId="3E1D6A12" w14:textId="5C59CBC5" w:rsidR="00B40F04" w:rsidRDefault="00405904">
          <w:pPr>
            <w:pStyle w:val="TM1"/>
            <w:tabs>
              <w:tab w:val="right" w:leader="dot" w:pos="9062"/>
            </w:tabs>
            <w:rPr>
              <w:noProof/>
              <w:sz w:val="22"/>
              <w:szCs w:val="22"/>
            </w:rPr>
          </w:pPr>
          <w:hyperlink w:anchor="_Toc147328746" w:history="1">
            <w:r w:rsidR="00B40F04" w:rsidRPr="00F00614">
              <w:rPr>
                <w:rStyle w:val="Lienhypertexte"/>
                <w:noProof/>
              </w:rPr>
              <w:t>3. Modalités de sélection des dossiers</w:t>
            </w:r>
            <w:r w:rsidR="00B40F04">
              <w:rPr>
                <w:noProof/>
                <w:webHidden/>
              </w:rPr>
              <w:tab/>
            </w:r>
            <w:r w:rsidR="00B40F04">
              <w:rPr>
                <w:noProof/>
                <w:webHidden/>
              </w:rPr>
              <w:fldChar w:fldCharType="begin"/>
            </w:r>
            <w:r w:rsidR="00B40F04">
              <w:rPr>
                <w:noProof/>
                <w:webHidden/>
              </w:rPr>
              <w:instrText xml:space="preserve"> PAGEREF _Toc147328746 \h </w:instrText>
            </w:r>
            <w:r w:rsidR="00B40F04">
              <w:rPr>
                <w:noProof/>
                <w:webHidden/>
              </w:rPr>
            </w:r>
            <w:r w:rsidR="00B40F04">
              <w:rPr>
                <w:noProof/>
                <w:webHidden/>
              </w:rPr>
              <w:fldChar w:fldCharType="separate"/>
            </w:r>
            <w:r w:rsidR="000A2FB0">
              <w:rPr>
                <w:noProof/>
                <w:webHidden/>
              </w:rPr>
              <w:t>4</w:t>
            </w:r>
            <w:r w:rsidR="00B40F04">
              <w:rPr>
                <w:noProof/>
                <w:webHidden/>
              </w:rPr>
              <w:fldChar w:fldCharType="end"/>
            </w:r>
          </w:hyperlink>
        </w:p>
        <w:p w14:paraId="097B1161" w14:textId="071CA065" w:rsidR="00B40F04" w:rsidRDefault="00405904">
          <w:pPr>
            <w:pStyle w:val="TM2"/>
            <w:tabs>
              <w:tab w:val="right" w:leader="dot" w:pos="9062"/>
            </w:tabs>
            <w:rPr>
              <w:noProof/>
              <w:sz w:val="22"/>
              <w:szCs w:val="22"/>
            </w:rPr>
          </w:pPr>
          <w:hyperlink w:anchor="_Toc147328747" w:history="1">
            <w:r w:rsidR="00B40F04" w:rsidRPr="00F00614">
              <w:rPr>
                <w:rStyle w:val="Lienhypertexte"/>
                <w:noProof/>
              </w:rPr>
              <w:t>3.1 Contenu du dossier de candidature</w:t>
            </w:r>
            <w:r w:rsidR="00B40F04">
              <w:rPr>
                <w:noProof/>
                <w:webHidden/>
              </w:rPr>
              <w:tab/>
            </w:r>
            <w:r w:rsidR="00B40F04">
              <w:rPr>
                <w:noProof/>
                <w:webHidden/>
              </w:rPr>
              <w:fldChar w:fldCharType="begin"/>
            </w:r>
            <w:r w:rsidR="00B40F04">
              <w:rPr>
                <w:noProof/>
                <w:webHidden/>
              </w:rPr>
              <w:instrText xml:space="preserve"> PAGEREF _Toc147328747 \h </w:instrText>
            </w:r>
            <w:r w:rsidR="00B40F04">
              <w:rPr>
                <w:noProof/>
                <w:webHidden/>
              </w:rPr>
            </w:r>
            <w:r w:rsidR="00B40F04">
              <w:rPr>
                <w:noProof/>
                <w:webHidden/>
              </w:rPr>
              <w:fldChar w:fldCharType="separate"/>
            </w:r>
            <w:r w:rsidR="000A2FB0">
              <w:rPr>
                <w:noProof/>
                <w:webHidden/>
              </w:rPr>
              <w:t>4</w:t>
            </w:r>
            <w:r w:rsidR="00B40F04">
              <w:rPr>
                <w:noProof/>
                <w:webHidden/>
              </w:rPr>
              <w:fldChar w:fldCharType="end"/>
            </w:r>
          </w:hyperlink>
        </w:p>
        <w:p w14:paraId="51566BBD" w14:textId="2E5C97FC" w:rsidR="00B40F04" w:rsidRDefault="00405904">
          <w:pPr>
            <w:pStyle w:val="TM2"/>
            <w:tabs>
              <w:tab w:val="right" w:leader="dot" w:pos="9062"/>
            </w:tabs>
            <w:rPr>
              <w:noProof/>
              <w:sz w:val="22"/>
              <w:szCs w:val="22"/>
            </w:rPr>
          </w:pPr>
          <w:hyperlink w:anchor="_Toc147328748" w:history="1">
            <w:r w:rsidR="00B40F04" w:rsidRPr="00F00614">
              <w:rPr>
                <w:rStyle w:val="Lienhypertexte"/>
                <w:noProof/>
              </w:rPr>
              <w:t>3.2 Conditions de recevabilité</w:t>
            </w:r>
            <w:r w:rsidR="00B40F04">
              <w:rPr>
                <w:noProof/>
                <w:webHidden/>
              </w:rPr>
              <w:tab/>
            </w:r>
            <w:r w:rsidR="00B40F04">
              <w:rPr>
                <w:noProof/>
                <w:webHidden/>
              </w:rPr>
              <w:fldChar w:fldCharType="begin"/>
            </w:r>
            <w:r w:rsidR="00B40F04">
              <w:rPr>
                <w:noProof/>
                <w:webHidden/>
              </w:rPr>
              <w:instrText xml:space="preserve"> PAGEREF _Toc147328748 \h </w:instrText>
            </w:r>
            <w:r w:rsidR="00B40F04">
              <w:rPr>
                <w:noProof/>
                <w:webHidden/>
              </w:rPr>
            </w:r>
            <w:r w:rsidR="00B40F04">
              <w:rPr>
                <w:noProof/>
                <w:webHidden/>
              </w:rPr>
              <w:fldChar w:fldCharType="separate"/>
            </w:r>
            <w:r w:rsidR="000A2FB0">
              <w:rPr>
                <w:noProof/>
                <w:webHidden/>
              </w:rPr>
              <w:t>5</w:t>
            </w:r>
            <w:r w:rsidR="00B40F04">
              <w:rPr>
                <w:noProof/>
                <w:webHidden/>
              </w:rPr>
              <w:fldChar w:fldCharType="end"/>
            </w:r>
          </w:hyperlink>
        </w:p>
        <w:p w14:paraId="7B6FFFA8" w14:textId="66B5F0C7" w:rsidR="00B40F04" w:rsidRDefault="00405904">
          <w:pPr>
            <w:pStyle w:val="TM2"/>
            <w:tabs>
              <w:tab w:val="right" w:leader="dot" w:pos="9062"/>
            </w:tabs>
            <w:rPr>
              <w:noProof/>
              <w:sz w:val="22"/>
              <w:szCs w:val="22"/>
            </w:rPr>
          </w:pPr>
          <w:hyperlink w:anchor="_Toc147328749" w:history="1">
            <w:r w:rsidR="00B40F04" w:rsidRPr="00F00614">
              <w:rPr>
                <w:rStyle w:val="Lienhypertexte"/>
                <w:noProof/>
              </w:rPr>
              <w:t>3.3 Critères de sélection</w:t>
            </w:r>
            <w:r w:rsidR="00B40F04">
              <w:rPr>
                <w:noProof/>
                <w:webHidden/>
              </w:rPr>
              <w:tab/>
            </w:r>
            <w:r w:rsidR="00B40F04">
              <w:rPr>
                <w:noProof/>
                <w:webHidden/>
              </w:rPr>
              <w:fldChar w:fldCharType="begin"/>
            </w:r>
            <w:r w:rsidR="00B40F04">
              <w:rPr>
                <w:noProof/>
                <w:webHidden/>
              </w:rPr>
              <w:instrText xml:space="preserve"> PAGEREF _Toc147328749 \h </w:instrText>
            </w:r>
            <w:r w:rsidR="00B40F04">
              <w:rPr>
                <w:noProof/>
                <w:webHidden/>
              </w:rPr>
            </w:r>
            <w:r w:rsidR="00B40F04">
              <w:rPr>
                <w:noProof/>
                <w:webHidden/>
              </w:rPr>
              <w:fldChar w:fldCharType="separate"/>
            </w:r>
            <w:r w:rsidR="000A2FB0">
              <w:rPr>
                <w:noProof/>
                <w:webHidden/>
              </w:rPr>
              <w:t>5</w:t>
            </w:r>
            <w:r w:rsidR="00B40F04">
              <w:rPr>
                <w:noProof/>
                <w:webHidden/>
              </w:rPr>
              <w:fldChar w:fldCharType="end"/>
            </w:r>
          </w:hyperlink>
        </w:p>
        <w:p w14:paraId="12AFD39C" w14:textId="5AC9E07B" w:rsidR="00B40F04" w:rsidRDefault="00405904">
          <w:pPr>
            <w:pStyle w:val="TM1"/>
            <w:tabs>
              <w:tab w:val="right" w:leader="dot" w:pos="9062"/>
            </w:tabs>
            <w:rPr>
              <w:noProof/>
              <w:sz w:val="22"/>
              <w:szCs w:val="22"/>
            </w:rPr>
          </w:pPr>
          <w:hyperlink w:anchor="_Toc147328750" w:history="1">
            <w:r w:rsidR="00B40F04" w:rsidRPr="00F00614">
              <w:rPr>
                <w:rStyle w:val="Lienhypertexte"/>
                <w:noProof/>
              </w:rPr>
              <w:t>4. Calendrier de l’appel à manifestation d’intérêt</w:t>
            </w:r>
            <w:r w:rsidR="00B40F04">
              <w:rPr>
                <w:noProof/>
                <w:webHidden/>
              </w:rPr>
              <w:tab/>
            </w:r>
            <w:r w:rsidR="00B40F04">
              <w:rPr>
                <w:noProof/>
                <w:webHidden/>
              </w:rPr>
              <w:fldChar w:fldCharType="begin"/>
            </w:r>
            <w:r w:rsidR="00B40F04">
              <w:rPr>
                <w:noProof/>
                <w:webHidden/>
              </w:rPr>
              <w:instrText xml:space="preserve"> PAGEREF _Toc147328750 \h </w:instrText>
            </w:r>
            <w:r w:rsidR="00B40F04">
              <w:rPr>
                <w:noProof/>
                <w:webHidden/>
              </w:rPr>
            </w:r>
            <w:r w:rsidR="00B40F04">
              <w:rPr>
                <w:noProof/>
                <w:webHidden/>
              </w:rPr>
              <w:fldChar w:fldCharType="separate"/>
            </w:r>
            <w:r w:rsidR="000A2FB0">
              <w:rPr>
                <w:noProof/>
                <w:webHidden/>
              </w:rPr>
              <w:t>5</w:t>
            </w:r>
            <w:r w:rsidR="00B40F04">
              <w:rPr>
                <w:noProof/>
                <w:webHidden/>
              </w:rPr>
              <w:fldChar w:fldCharType="end"/>
            </w:r>
          </w:hyperlink>
        </w:p>
        <w:p w14:paraId="7E55B9A5" w14:textId="1005CC36" w:rsidR="00B40F04" w:rsidRDefault="00405904">
          <w:pPr>
            <w:pStyle w:val="TM1"/>
            <w:tabs>
              <w:tab w:val="right" w:leader="dot" w:pos="9062"/>
            </w:tabs>
            <w:rPr>
              <w:noProof/>
              <w:sz w:val="22"/>
              <w:szCs w:val="22"/>
            </w:rPr>
          </w:pPr>
          <w:hyperlink w:anchor="_Toc147328751" w:history="1">
            <w:r w:rsidR="00B40F04" w:rsidRPr="00F00614">
              <w:rPr>
                <w:rStyle w:val="Lienhypertexte"/>
                <w:noProof/>
              </w:rPr>
              <w:t>5. Contact pour informations</w:t>
            </w:r>
            <w:r w:rsidR="00B40F04">
              <w:rPr>
                <w:noProof/>
                <w:webHidden/>
              </w:rPr>
              <w:tab/>
            </w:r>
            <w:r w:rsidR="00B40F04">
              <w:rPr>
                <w:noProof/>
                <w:webHidden/>
              </w:rPr>
              <w:fldChar w:fldCharType="begin"/>
            </w:r>
            <w:r w:rsidR="00B40F04">
              <w:rPr>
                <w:noProof/>
                <w:webHidden/>
              </w:rPr>
              <w:instrText xml:space="preserve"> PAGEREF _Toc147328751 \h </w:instrText>
            </w:r>
            <w:r w:rsidR="00B40F04">
              <w:rPr>
                <w:noProof/>
                <w:webHidden/>
              </w:rPr>
            </w:r>
            <w:r w:rsidR="00B40F04">
              <w:rPr>
                <w:noProof/>
                <w:webHidden/>
              </w:rPr>
              <w:fldChar w:fldCharType="separate"/>
            </w:r>
            <w:r w:rsidR="000A2FB0">
              <w:rPr>
                <w:noProof/>
                <w:webHidden/>
              </w:rPr>
              <w:t>6</w:t>
            </w:r>
            <w:r w:rsidR="00B40F04">
              <w:rPr>
                <w:noProof/>
                <w:webHidden/>
              </w:rPr>
              <w:fldChar w:fldCharType="end"/>
            </w:r>
          </w:hyperlink>
        </w:p>
        <w:p w14:paraId="39BFF510" w14:textId="1B86EBC0" w:rsidR="00B40F04" w:rsidRDefault="00405904">
          <w:pPr>
            <w:pStyle w:val="TM1"/>
            <w:tabs>
              <w:tab w:val="right" w:leader="dot" w:pos="9062"/>
            </w:tabs>
            <w:rPr>
              <w:noProof/>
              <w:sz w:val="22"/>
              <w:szCs w:val="22"/>
            </w:rPr>
          </w:pPr>
          <w:hyperlink w:anchor="_Toc147328752" w:history="1">
            <w:r w:rsidR="00B40F04" w:rsidRPr="00F00614">
              <w:rPr>
                <w:rStyle w:val="Lienhypertexte"/>
                <w:noProof/>
              </w:rPr>
              <w:t>Appel à manifestation d’intérêt – Cadre de réponse</w:t>
            </w:r>
            <w:r w:rsidR="00B40F04">
              <w:rPr>
                <w:noProof/>
                <w:webHidden/>
              </w:rPr>
              <w:tab/>
            </w:r>
            <w:r w:rsidR="00B40F04">
              <w:rPr>
                <w:noProof/>
                <w:webHidden/>
              </w:rPr>
              <w:fldChar w:fldCharType="begin"/>
            </w:r>
            <w:r w:rsidR="00B40F04">
              <w:rPr>
                <w:noProof/>
                <w:webHidden/>
              </w:rPr>
              <w:instrText xml:space="preserve"> PAGEREF _Toc147328752 \h </w:instrText>
            </w:r>
            <w:r w:rsidR="00B40F04">
              <w:rPr>
                <w:noProof/>
                <w:webHidden/>
              </w:rPr>
            </w:r>
            <w:r w:rsidR="00B40F04">
              <w:rPr>
                <w:noProof/>
                <w:webHidden/>
              </w:rPr>
              <w:fldChar w:fldCharType="separate"/>
            </w:r>
            <w:r w:rsidR="000A2FB0">
              <w:rPr>
                <w:noProof/>
                <w:webHidden/>
              </w:rPr>
              <w:t>7</w:t>
            </w:r>
            <w:r w:rsidR="00B40F04">
              <w:rPr>
                <w:noProof/>
                <w:webHidden/>
              </w:rPr>
              <w:fldChar w:fldCharType="end"/>
            </w:r>
          </w:hyperlink>
        </w:p>
        <w:p w14:paraId="3A8ED9DC" w14:textId="4D5FCDB7" w:rsidR="00C35FFE" w:rsidRDefault="00C35FFE">
          <w:r>
            <w:rPr>
              <w:b/>
              <w:bCs/>
            </w:rPr>
            <w:fldChar w:fldCharType="end"/>
          </w:r>
        </w:p>
      </w:sdtContent>
    </w:sdt>
    <w:p w14:paraId="1548A03F" w14:textId="77777777" w:rsidR="00C35FFE" w:rsidRDefault="00C35FFE" w:rsidP="00C35FFE">
      <w:pPr>
        <w:jc w:val="both"/>
        <w:rPr>
          <w:b/>
          <w:color w:val="1F497D" w:themeColor="text2"/>
          <w:sz w:val="24"/>
          <w:szCs w:val="24"/>
        </w:rPr>
      </w:pPr>
    </w:p>
    <w:p w14:paraId="1E3843C4" w14:textId="77777777" w:rsidR="00C35FFE" w:rsidRDefault="00C35FFE" w:rsidP="00C35FFE">
      <w:pPr>
        <w:jc w:val="both"/>
        <w:rPr>
          <w:b/>
          <w:color w:val="1F497D" w:themeColor="text2"/>
          <w:sz w:val="24"/>
          <w:szCs w:val="24"/>
        </w:rPr>
      </w:pPr>
    </w:p>
    <w:p w14:paraId="6F8C767D" w14:textId="77777777" w:rsidR="00C35FFE" w:rsidRDefault="00C35FFE" w:rsidP="00C35FFE">
      <w:pPr>
        <w:jc w:val="both"/>
        <w:rPr>
          <w:b/>
          <w:color w:val="1F497D" w:themeColor="text2"/>
          <w:sz w:val="24"/>
          <w:szCs w:val="24"/>
        </w:rPr>
      </w:pPr>
    </w:p>
    <w:p w14:paraId="7AAA93C4" w14:textId="77777777" w:rsidR="00C35FFE" w:rsidRDefault="00C35FFE" w:rsidP="00C35FFE">
      <w:pPr>
        <w:jc w:val="both"/>
        <w:rPr>
          <w:b/>
          <w:color w:val="1F497D" w:themeColor="text2"/>
          <w:sz w:val="24"/>
          <w:szCs w:val="24"/>
        </w:rPr>
      </w:pPr>
    </w:p>
    <w:p w14:paraId="7CF3B7DE" w14:textId="77777777" w:rsidR="00C35FFE" w:rsidRDefault="00C35FFE" w:rsidP="00C35FFE">
      <w:pPr>
        <w:jc w:val="both"/>
        <w:rPr>
          <w:b/>
          <w:color w:val="1F497D" w:themeColor="text2"/>
          <w:sz w:val="24"/>
          <w:szCs w:val="24"/>
        </w:rPr>
      </w:pPr>
    </w:p>
    <w:p w14:paraId="2CE1AE9E" w14:textId="77777777" w:rsidR="00C35FFE" w:rsidRDefault="00C35FFE" w:rsidP="00C35FFE">
      <w:pPr>
        <w:jc w:val="both"/>
        <w:rPr>
          <w:b/>
          <w:color w:val="1F497D" w:themeColor="text2"/>
          <w:sz w:val="24"/>
          <w:szCs w:val="24"/>
        </w:rPr>
      </w:pPr>
    </w:p>
    <w:p w14:paraId="68F4BDAF" w14:textId="77777777" w:rsidR="00C35FFE" w:rsidRDefault="00C35FFE" w:rsidP="00C35FFE">
      <w:pPr>
        <w:jc w:val="both"/>
        <w:rPr>
          <w:b/>
          <w:color w:val="1F497D" w:themeColor="text2"/>
          <w:sz w:val="24"/>
          <w:szCs w:val="24"/>
        </w:rPr>
      </w:pPr>
    </w:p>
    <w:p w14:paraId="101DDE0F" w14:textId="77777777" w:rsidR="00C35FFE" w:rsidRDefault="00C35FFE" w:rsidP="00C35FFE">
      <w:pPr>
        <w:jc w:val="both"/>
        <w:rPr>
          <w:b/>
          <w:color w:val="1F497D" w:themeColor="text2"/>
          <w:sz w:val="24"/>
          <w:szCs w:val="24"/>
        </w:rPr>
      </w:pPr>
    </w:p>
    <w:p w14:paraId="64DCA61C" w14:textId="77777777" w:rsidR="00C35FFE" w:rsidRDefault="00C35FFE" w:rsidP="00C35FFE">
      <w:pPr>
        <w:jc w:val="both"/>
        <w:rPr>
          <w:b/>
          <w:color w:val="1F497D" w:themeColor="text2"/>
          <w:sz w:val="24"/>
          <w:szCs w:val="24"/>
        </w:rPr>
      </w:pPr>
    </w:p>
    <w:p w14:paraId="7FDD7701" w14:textId="77777777" w:rsidR="00C35FFE" w:rsidRDefault="00C35FFE" w:rsidP="00C35FFE">
      <w:pPr>
        <w:jc w:val="both"/>
        <w:rPr>
          <w:b/>
          <w:color w:val="1F497D" w:themeColor="text2"/>
          <w:sz w:val="24"/>
          <w:szCs w:val="24"/>
        </w:rPr>
      </w:pPr>
    </w:p>
    <w:p w14:paraId="6E2B64B6" w14:textId="77777777" w:rsidR="00C35FFE" w:rsidRDefault="00C35FFE" w:rsidP="00C35FFE">
      <w:pPr>
        <w:jc w:val="both"/>
        <w:rPr>
          <w:b/>
          <w:color w:val="1F497D" w:themeColor="text2"/>
          <w:sz w:val="24"/>
          <w:szCs w:val="24"/>
        </w:rPr>
      </w:pPr>
    </w:p>
    <w:p w14:paraId="11C383FE" w14:textId="77777777" w:rsidR="00C35FFE" w:rsidRDefault="00C35FFE" w:rsidP="00C35FFE">
      <w:pPr>
        <w:jc w:val="both"/>
        <w:rPr>
          <w:b/>
          <w:color w:val="1F497D" w:themeColor="text2"/>
          <w:sz w:val="24"/>
          <w:szCs w:val="24"/>
        </w:rPr>
      </w:pPr>
    </w:p>
    <w:p w14:paraId="14AB7414" w14:textId="77777777" w:rsidR="00264AE1" w:rsidRDefault="00264AE1" w:rsidP="00264AE1">
      <w:pPr>
        <w:jc w:val="both"/>
        <w:rPr>
          <w:b/>
          <w:color w:val="1F497D" w:themeColor="text2"/>
          <w:sz w:val="24"/>
          <w:szCs w:val="24"/>
        </w:rPr>
      </w:pPr>
    </w:p>
    <w:p w14:paraId="1090DDB7" w14:textId="77777777" w:rsidR="004712B3" w:rsidRDefault="004712B3" w:rsidP="00264AE1">
      <w:pPr>
        <w:jc w:val="both"/>
        <w:rPr>
          <w:b/>
          <w:color w:val="1F497D" w:themeColor="text2"/>
          <w:sz w:val="24"/>
          <w:szCs w:val="24"/>
        </w:rPr>
      </w:pPr>
    </w:p>
    <w:p w14:paraId="20965CAC" w14:textId="77777777" w:rsidR="00477F38" w:rsidRDefault="00477F38" w:rsidP="00264AE1">
      <w:pPr>
        <w:jc w:val="both"/>
        <w:rPr>
          <w:b/>
          <w:color w:val="1F497D" w:themeColor="text2"/>
          <w:sz w:val="24"/>
          <w:szCs w:val="24"/>
        </w:rPr>
      </w:pPr>
    </w:p>
    <w:p w14:paraId="436DE5E3" w14:textId="77777777" w:rsidR="00C35FFE" w:rsidRPr="00264AE1" w:rsidRDefault="00C35FFE" w:rsidP="00264AE1">
      <w:pPr>
        <w:jc w:val="both"/>
        <w:rPr>
          <w:b/>
          <w:color w:val="1F497D" w:themeColor="text2"/>
          <w:sz w:val="24"/>
          <w:szCs w:val="24"/>
        </w:rPr>
      </w:pPr>
    </w:p>
    <w:p w14:paraId="6A19002B" w14:textId="2DEBF894" w:rsidR="00AC74B9" w:rsidRPr="00F71862" w:rsidRDefault="00D90F47" w:rsidP="004E70B7">
      <w:pPr>
        <w:pStyle w:val="Titre1"/>
        <w:numPr>
          <w:ilvl w:val="0"/>
          <w:numId w:val="26"/>
        </w:numPr>
      </w:pPr>
      <w:bookmarkStart w:id="3" w:name="_Toc147328742"/>
      <w:r w:rsidRPr="00F71862">
        <w:t>Éléments de c</w:t>
      </w:r>
      <w:r w:rsidR="00AC74B9" w:rsidRPr="00F71862">
        <w:t>ontexte</w:t>
      </w:r>
      <w:bookmarkEnd w:id="3"/>
    </w:p>
    <w:p w14:paraId="5C284F21" w14:textId="77777777" w:rsidR="00DA6339" w:rsidRPr="00DA6339" w:rsidRDefault="00DA6339" w:rsidP="00DA6339">
      <w:pPr>
        <w:pStyle w:val="Paragraphedeliste"/>
        <w:jc w:val="both"/>
        <w:rPr>
          <w:b/>
        </w:rPr>
      </w:pPr>
    </w:p>
    <w:p w14:paraId="11709935" w14:textId="337280E6" w:rsidR="00DA6339" w:rsidRDefault="004E70B7" w:rsidP="00006297">
      <w:pPr>
        <w:pStyle w:val="Titre2"/>
      </w:pPr>
      <w:bookmarkStart w:id="4" w:name="_Toc147328743"/>
      <w:r>
        <w:t xml:space="preserve">1.1 </w:t>
      </w:r>
      <w:proofErr w:type="spellStart"/>
      <w:r w:rsidR="00CB3B1B">
        <w:t>CollEx</w:t>
      </w:r>
      <w:proofErr w:type="spellEnd"/>
      <w:r w:rsidR="00CB3B1B">
        <w:t>-Persée</w:t>
      </w:r>
      <w:r w:rsidR="00F609D0">
        <w:t xml:space="preserve"> et la constitution du</w:t>
      </w:r>
      <w:r w:rsidR="00DA6339" w:rsidRPr="00D90F47">
        <w:t xml:space="preserve"> G</w:t>
      </w:r>
      <w:r w:rsidR="008B58CD">
        <w:t>roupement d’</w:t>
      </w:r>
      <w:r w:rsidR="00FF1E60">
        <w:t>i</w:t>
      </w:r>
      <w:r w:rsidR="008B58CD">
        <w:t xml:space="preserve">ntérêt </w:t>
      </w:r>
      <w:r w:rsidR="00FF1E60">
        <w:t>s</w:t>
      </w:r>
      <w:r w:rsidR="008B58CD">
        <w:t>cientifique (GIS)</w:t>
      </w:r>
      <w:bookmarkEnd w:id="4"/>
    </w:p>
    <w:p w14:paraId="048F31BB" w14:textId="77777777" w:rsidR="00006297" w:rsidRPr="00006297" w:rsidRDefault="00006297" w:rsidP="00006297"/>
    <w:p w14:paraId="27B22F2B" w14:textId="369EBF49" w:rsidR="00AC74B9" w:rsidRPr="00872030" w:rsidRDefault="00A618B3" w:rsidP="00AC74B9">
      <w:pPr>
        <w:jc w:val="both"/>
      </w:pPr>
      <w:proofErr w:type="spellStart"/>
      <w:r w:rsidRPr="00872030">
        <w:t>CollEx</w:t>
      </w:r>
      <w:proofErr w:type="spellEnd"/>
      <w:r w:rsidRPr="00872030">
        <w:t>-Persée est une infrastructure de recherche en information scientifique et technique inscrite à la feuille de route nationale de 2021.</w:t>
      </w:r>
      <w:r w:rsidR="00807BB0" w:rsidRPr="00872030">
        <w:t xml:space="preserve"> </w:t>
      </w:r>
      <w:r w:rsidRPr="00872030">
        <w:t>Cette infrastructure de recherche est portée par un Groupement d’intérêt scientifique (GIS).</w:t>
      </w:r>
      <w:r w:rsidR="00DF223F">
        <w:t xml:space="preserve"> Un premier GIS a été créé en 2017 et </w:t>
      </w:r>
      <w:r w:rsidR="009C4E71">
        <w:t xml:space="preserve">a </w:t>
      </w:r>
      <w:r w:rsidR="00DF223F">
        <w:t xml:space="preserve">porté la mise en œuvre expérimentale de l’infrastructure de recherche </w:t>
      </w:r>
      <w:proofErr w:type="spellStart"/>
      <w:r w:rsidR="00DF223F">
        <w:t>CollEx</w:t>
      </w:r>
      <w:proofErr w:type="spellEnd"/>
      <w:r w:rsidR="00DF223F">
        <w:t>-Persée. Il prend fin en 2023.</w:t>
      </w:r>
      <w:r w:rsidR="00623079">
        <w:t xml:space="preserve"> L’appel à manifestation d’intérêt s’inscrit dans le cadre du renouvellement du GIS </w:t>
      </w:r>
      <w:proofErr w:type="spellStart"/>
      <w:r w:rsidR="00623079">
        <w:t>CollEx</w:t>
      </w:r>
      <w:proofErr w:type="spellEnd"/>
      <w:r w:rsidR="00623079">
        <w:t>-Persée selon de nouvelles modalités.</w:t>
      </w:r>
    </w:p>
    <w:p w14:paraId="43AD6F48" w14:textId="77777777" w:rsidR="009C595B" w:rsidRDefault="009C595B" w:rsidP="009C595B">
      <w:pPr>
        <w:ind w:left="-5"/>
        <w:jc w:val="both"/>
      </w:pPr>
      <w:r>
        <w:t xml:space="preserve">Le GIS a pour objectifs :  </w:t>
      </w:r>
    </w:p>
    <w:p w14:paraId="6F92F33F" w14:textId="77777777" w:rsidR="009C595B" w:rsidRDefault="009C595B" w:rsidP="009C595B">
      <w:pPr>
        <w:numPr>
          <w:ilvl w:val="0"/>
          <w:numId w:val="25"/>
        </w:numPr>
        <w:spacing w:after="160" w:line="259" w:lineRule="auto"/>
        <w:ind w:hanging="360"/>
        <w:jc w:val="both"/>
      </w:pPr>
      <w:proofErr w:type="gramStart"/>
      <w:r>
        <w:t>de</w:t>
      </w:r>
      <w:proofErr w:type="gramEnd"/>
      <w:r>
        <w:t xml:space="preserve"> créer entre ses membres, ses partenaires et, à travers eux, avec toutes les institutions coopérant avec eux, une synergie destinée à dynamiser et optimiser la production de ressources et l’accès des chercheurs à la documentation et aux matériaux pour la recherche conservés par ses membres et les institutions associées au GIS ;  </w:t>
      </w:r>
    </w:p>
    <w:p w14:paraId="738AACC6" w14:textId="77777777" w:rsidR="009C595B" w:rsidRDefault="009C595B" w:rsidP="009C595B">
      <w:pPr>
        <w:numPr>
          <w:ilvl w:val="0"/>
          <w:numId w:val="25"/>
        </w:numPr>
        <w:spacing w:after="160" w:line="259" w:lineRule="auto"/>
        <w:ind w:hanging="360"/>
        <w:jc w:val="both"/>
      </w:pPr>
      <w:proofErr w:type="gramStart"/>
      <w:r>
        <w:t>de</w:t>
      </w:r>
      <w:proofErr w:type="gramEnd"/>
      <w:r>
        <w:t xml:space="preserve"> contribuer à renforcer les relations entre ses membres et les acteurs de la recherche, chercheurs individuels et équipes de recherche, afin de répondre au plus près aux besoins des communautés de recherche.</w:t>
      </w:r>
    </w:p>
    <w:p w14:paraId="2A130F8F" w14:textId="77777777" w:rsidR="009C595B" w:rsidRDefault="009C595B" w:rsidP="009C595B">
      <w:pPr>
        <w:jc w:val="both"/>
      </w:pPr>
      <w:r>
        <w:t>A cette fin, il veillera à :</w:t>
      </w:r>
    </w:p>
    <w:p w14:paraId="38489C85" w14:textId="77777777" w:rsidR="009C595B" w:rsidRPr="0054518A" w:rsidRDefault="009C595B" w:rsidP="009C595B">
      <w:pPr>
        <w:numPr>
          <w:ilvl w:val="0"/>
          <w:numId w:val="25"/>
        </w:numPr>
        <w:spacing w:after="160" w:line="259" w:lineRule="auto"/>
        <w:ind w:hanging="360"/>
        <w:jc w:val="both"/>
      </w:pPr>
      <w:proofErr w:type="gramStart"/>
      <w:r w:rsidRPr="0054518A">
        <w:t>contribuer</w:t>
      </w:r>
      <w:proofErr w:type="gramEnd"/>
      <w:r w:rsidRPr="0054518A">
        <w:t xml:space="preserve"> à l’accélération du développement des ressources numériques pour la recherche ; </w:t>
      </w:r>
    </w:p>
    <w:p w14:paraId="54A95D4D" w14:textId="77777777" w:rsidR="009C595B" w:rsidRPr="000C2579" w:rsidRDefault="009C595B" w:rsidP="009C595B">
      <w:pPr>
        <w:numPr>
          <w:ilvl w:val="0"/>
          <w:numId w:val="25"/>
        </w:numPr>
        <w:spacing w:after="160" w:line="259" w:lineRule="auto"/>
        <w:ind w:hanging="360"/>
        <w:jc w:val="both"/>
      </w:pPr>
      <w:proofErr w:type="gramStart"/>
      <w:r w:rsidRPr="000C2579">
        <w:t>développer</w:t>
      </w:r>
      <w:proofErr w:type="gramEnd"/>
      <w:r w:rsidRPr="000C2579">
        <w:t xml:space="preserve">, au bénéfice des communautés de recherche, des services nationaux en lien avec les collections d’excellence conservées par </w:t>
      </w:r>
      <w:r>
        <w:t>le</w:t>
      </w:r>
      <w:r w:rsidRPr="000C2579">
        <w:t xml:space="preserve">s </w:t>
      </w:r>
      <w:r>
        <w:t xml:space="preserve">bibliothèques labellisées </w:t>
      </w:r>
      <w:r w:rsidRPr="000C2579">
        <w:t xml:space="preserve">et les partenaires du GIS, et reposant sur l’expertise de ses membres ;  </w:t>
      </w:r>
    </w:p>
    <w:p w14:paraId="006D3BA7" w14:textId="77777777" w:rsidR="009C595B" w:rsidRDefault="009C595B" w:rsidP="009C595B">
      <w:pPr>
        <w:numPr>
          <w:ilvl w:val="0"/>
          <w:numId w:val="25"/>
        </w:numPr>
        <w:spacing w:after="78" w:line="259" w:lineRule="auto"/>
        <w:ind w:hanging="360"/>
        <w:jc w:val="both"/>
      </w:pPr>
      <w:proofErr w:type="gramStart"/>
      <w:r w:rsidRPr="0054518A">
        <w:t>participer</w:t>
      </w:r>
      <w:proofErr w:type="gramEnd"/>
      <w:r w:rsidRPr="0054518A">
        <w:t xml:space="preserve"> à des projets et programmes nationaux et internationaux contribuant à mettre en œuvre ces objectifs</w:t>
      </w:r>
      <w:r>
        <w:t> ;</w:t>
      </w:r>
    </w:p>
    <w:p w14:paraId="79961FA0" w14:textId="77777777" w:rsidR="009C595B" w:rsidRDefault="009C595B" w:rsidP="009C595B">
      <w:pPr>
        <w:numPr>
          <w:ilvl w:val="0"/>
          <w:numId w:val="25"/>
        </w:numPr>
        <w:spacing w:after="160" w:line="259" w:lineRule="auto"/>
        <w:ind w:hanging="360"/>
        <w:jc w:val="both"/>
      </w:pPr>
      <w:proofErr w:type="gramStart"/>
      <w:r w:rsidRPr="00081003">
        <w:t>coordonner</w:t>
      </w:r>
      <w:proofErr w:type="gramEnd"/>
      <w:r w:rsidRPr="00081003">
        <w:t xml:space="preserve"> son action avec les politiques nationales d’acquisition de ressources numériques</w:t>
      </w:r>
      <w:r w:rsidRPr="00231A53">
        <w:rPr>
          <w:rFonts w:ascii="Times New Roman" w:eastAsia="Times New Roman" w:hAnsi="Times New Roman" w:cs="Times New Roman"/>
          <w:sz w:val="24"/>
        </w:rPr>
        <w:t>.</w:t>
      </w:r>
    </w:p>
    <w:p w14:paraId="1A6F3397" w14:textId="77777777" w:rsidR="009C595B" w:rsidRDefault="009C595B" w:rsidP="009C595B">
      <w:pPr>
        <w:spacing w:after="268"/>
        <w:jc w:val="both"/>
      </w:pPr>
      <w:r>
        <w:t>La présente convention constitutive du GIS prend effet à sa date de signature et est conclue jusqu’au 31 décembre de l’année suivante.  A l’issue de cette période, elle sera renouvelable par tacite reconduction par période de deux ans dans la limite de six ans.</w:t>
      </w:r>
    </w:p>
    <w:p w14:paraId="0CA4EDF4" w14:textId="311D6794" w:rsidR="00DA6339" w:rsidRDefault="004E70B7" w:rsidP="00006297">
      <w:pPr>
        <w:pStyle w:val="Titre2"/>
      </w:pPr>
      <w:bookmarkStart w:id="5" w:name="_Toc147328744"/>
      <w:r>
        <w:t xml:space="preserve">1.2 </w:t>
      </w:r>
      <w:r w:rsidR="003400B6">
        <w:t>Rôle</w:t>
      </w:r>
      <w:r w:rsidR="00D90F47">
        <w:t xml:space="preserve"> </w:t>
      </w:r>
      <w:r w:rsidR="00D90F47" w:rsidRPr="00D90F47">
        <w:t>de l’établissement porteur</w:t>
      </w:r>
      <w:bookmarkEnd w:id="5"/>
      <w:r w:rsidR="00D90F47" w:rsidRPr="00D90F47">
        <w:t xml:space="preserve"> </w:t>
      </w:r>
    </w:p>
    <w:p w14:paraId="3C62F4A8" w14:textId="77777777" w:rsidR="00006297" w:rsidRPr="00006297" w:rsidRDefault="00006297" w:rsidP="00006297"/>
    <w:p w14:paraId="02B33B88" w14:textId="77777777" w:rsidR="009C595B" w:rsidRDefault="009C595B" w:rsidP="009C595B">
      <w:pPr>
        <w:jc w:val="both"/>
      </w:pPr>
      <w:r>
        <w:t>L’établissement porteur met en œuvre la politique du ministère en charge de l’enseignement supérieur et de la recherche en matière de développement des collections documentaires et des services à destination des chercheurs et des structures de recherche.</w:t>
      </w:r>
    </w:p>
    <w:p w14:paraId="30FF8648" w14:textId="56C9AC9E" w:rsidR="009C595B" w:rsidRPr="000F3A75" w:rsidRDefault="009C595B" w:rsidP="009C595B">
      <w:pPr>
        <w:jc w:val="both"/>
      </w:pPr>
      <w:r w:rsidRPr="00D1202F">
        <w:t>Le</w:t>
      </w:r>
      <w:r w:rsidR="00D1202F" w:rsidRPr="00D1202F">
        <w:t xml:space="preserve"> chef</w:t>
      </w:r>
      <w:r w:rsidRPr="00D1202F">
        <w:t xml:space="preserve"> de l’établissement</w:t>
      </w:r>
      <w:r>
        <w:t xml:space="preserve"> porteur est président du GIS.</w:t>
      </w:r>
    </w:p>
    <w:p w14:paraId="55CF42A3" w14:textId="77777777" w:rsidR="009C595B" w:rsidRDefault="009C595B" w:rsidP="009C595B">
      <w:pPr>
        <w:jc w:val="both"/>
      </w:pPr>
      <w:r>
        <w:lastRenderedPageBreak/>
        <w:t xml:space="preserve">L’établissement porteur est l’établissement qui abrite l’équipe opérationnelle (directeur délégué du GIS et personnels dédiés). </w:t>
      </w:r>
    </w:p>
    <w:p w14:paraId="0B3C46D4" w14:textId="77777777" w:rsidR="009C595B" w:rsidRDefault="009C595B" w:rsidP="009C595B">
      <w:pPr>
        <w:jc w:val="both"/>
      </w:pPr>
      <w:r>
        <w:t>L’établissement porteur doit lui-même conserver dans sa bibliothèque des collections d’excellence labellisées et disposer au sein de son équipe d’experts capables de l’accompagner dans la gouvernance du GIS.</w:t>
      </w:r>
    </w:p>
    <w:p w14:paraId="077A68A7" w14:textId="4EC2EFBC" w:rsidR="009C595B" w:rsidRPr="009C595B" w:rsidRDefault="009C595B" w:rsidP="009C595B">
      <w:pPr>
        <w:jc w:val="both"/>
      </w:pPr>
      <w:r w:rsidRPr="00A01FF6">
        <w:t xml:space="preserve">Le directeur délégué est placé sous l’autorité du </w:t>
      </w:r>
      <w:r w:rsidR="00D1202F">
        <w:t>chef</w:t>
      </w:r>
      <w:r w:rsidRPr="00A01FF6">
        <w:t xml:space="preserve"> de l’établissement porteur, président du GIS</w:t>
      </w:r>
      <w:r>
        <w:t>,</w:t>
      </w:r>
      <w:r w:rsidRPr="00A01FF6">
        <w:t xml:space="preserve"> et </w:t>
      </w:r>
      <w:r w:rsidRPr="00DC4D1F">
        <w:t>travaille</w:t>
      </w:r>
      <w:r>
        <w:t>, avec l’accord du président,</w:t>
      </w:r>
      <w:r w:rsidRPr="00A01FF6">
        <w:t xml:space="preserve"> en collaboration avec la structure documentaire de l’établissement.</w:t>
      </w:r>
    </w:p>
    <w:p w14:paraId="2049DC9E" w14:textId="1EA45EA7" w:rsidR="00D90F47" w:rsidRDefault="004E70B7" w:rsidP="00006297">
      <w:pPr>
        <w:pStyle w:val="Titre1"/>
      </w:pPr>
      <w:bookmarkStart w:id="6" w:name="_Toc147328745"/>
      <w:r>
        <w:t xml:space="preserve">2. </w:t>
      </w:r>
      <w:r w:rsidR="00657F9A" w:rsidRPr="005B20CF">
        <w:t>Objectifs</w:t>
      </w:r>
      <w:r w:rsidR="005F04A0" w:rsidRPr="005B20CF">
        <w:t xml:space="preserve"> </w:t>
      </w:r>
      <w:r w:rsidR="00DA6339" w:rsidRPr="005B20CF">
        <w:t>de l’appel à manifestation d’intérêt</w:t>
      </w:r>
      <w:bookmarkEnd w:id="6"/>
      <w:r w:rsidR="00DA6339" w:rsidRPr="005B20CF">
        <w:t xml:space="preserve"> </w:t>
      </w:r>
    </w:p>
    <w:p w14:paraId="6F80A912" w14:textId="77777777" w:rsidR="00006297" w:rsidRPr="00006297" w:rsidRDefault="00006297" w:rsidP="00006297"/>
    <w:p w14:paraId="4CA16EAB" w14:textId="169B17EE" w:rsidR="00657F9A" w:rsidRPr="00815C06" w:rsidRDefault="00D90F47" w:rsidP="00D90F47">
      <w:pPr>
        <w:jc w:val="both"/>
      </w:pPr>
      <w:r w:rsidRPr="00815C06">
        <w:t>Le présent appel à manifestation d’intérêt</w:t>
      </w:r>
      <w:r w:rsidR="00657F9A" w:rsidRPr="00815C06">
        <w:t xml:space="preserve"> a pour objectif de sélectionner l’établissement qui portera le GIS</w:t>
      </w:r>
      <w:r w:rsidR="00D71952" w:rsidRPr="00815C06">
        <w:t xml:space="preserve"> et as</w:t>
      </w:r>
      <w:r w:rsidR="002B6D01" w:rsidRPr="00815C06">
        <w:t>surera pour le</w:t>
      </w:r>
      <w:r w:rsidR="00D71952" w:rsidRPr="00815C06">
        <w:t xml:space="preserve"> compte</w:t>
      </w:r>
      <w:r w:rsidR="002B6D01" w:rsidRPr="00815C06">
        <w:t xml:space="preserve"> de celui-ci</w:t>
      </w:r>
      <w:r w:rsidR="00D71952" w:rsidRPr="00815C06">
        <w:t xml:space="preserve"> les missions décrites ci-dessus</w:t>
      </w:r>
      <w:r w:rsidR="00BD089F" w:rsidRPr="00815C06">
        <w:t xml:space="preserve"> au point 1.2</w:t>
      </w:r>
      <w:r w:rsidR="00657F9A" w:rsidRPr="00815C06">
        <w:t xml:space="preserve">. </w:t>
      </w:r>
      <w:r w:rsidR="0093050B" w:rsidRPr="00815C06">
        <w:t xml:space="preserve">Un seul </w:t>
      </w:r>
      <w:r w:rsidR="00322AAC">
        <w:t>lauréat</w:t>
      </w:r>
      <w:r w:rsidR="0093050B" w:rsidRPr="00815C06">
        <w:t xml:space="preserve"> sera donc sélectionné.</w:t>
      </w:r>
    </w:p>
    <w:p w14:paraId="681F64B8" w14:textId="061138AD" w:rsidR="008F5DF7" w:rsidRPr="00815C06" w:rsidRDefault="008F5DF7" w:rsidP="00AC74B9">
      <w:pPr>
        <w:jc w:val="both"/>
      </w:pPr>
      <w:r w:rsidRPr="00815C06">
        <w:t xml:space="preserve">A la suite de l’appel à manifestation d’intérêt, </w:t>
      </w:r>
      <w:r w:rsidR="005E11B6" w:rsidRPr="00815C06">
        <w:t xml:space="preserve">les candidatures seront examinées par une commission spécialement constituée à cet effet, et </w:t>
      </w:r>
      <w:r w:rsidRPr="00815C06">
        <w:t>l’établissement porteur sera désigné par le mini</w:t>
      </w:r>
      <w:r w:rsidR="00815C06" w:rsidRPr="00815C06">
        <w:t xml:space="preserve">stère </w:t>
      </w:r>
      <w:r w:rsidR="009C595B">
        <w:t>en charge de l’e</w:t>
      </w:r>
      <w:r w:rsidRPr="00815C06">
        <w:t>nseignement supérieur et de la recherche.</w:t>
      </w:r>
      <w:r w:rsidR="000244F1" w:rsidRPr="00815C06">
        <w:t xml:space="preserve"> </w:t>
      </w:r>
    </w:p>
    <w:p w14:paraId="0574076D" w14:textId="46BCFD1C" w:rsidR="00FD3EBD" w:rsidRPr="00AC44D2" w:rsidRDefault="00CF73E7" w:rsidP="003400B6">
      <w:pPr>
        <w:jc w:val="both"/>
      </w:pPr>
      <w:r w:rsidRPr="00815C06">
        <w:t>Cet</w:t>
      </w:r>
      <w:r w:rsidR="00DA6339" w:rsidRPr="00815C06">
        <w:t xml:space="preserve"> appel à manifestation d’</w:t>
      </w:r>
      <w:r w:rsidRPr="00815C06">
        <w:t xml:space="preserve">intérêt </w:t>
      </w:r>
      <w:r w:rsidR="00EA0211" w:rsidRPr="00815C06">
        <w:t>s’adresse</w:t>
      </w:r>
      <w:r w:rsidRPr="00815C06">
        <w:t xml:space="preserve"> à </w:t>
      </w:r>
      <w:r w:rsidR="00DC302B" w:rsidRPr="00815C06">
        <w:t>tous les établissements publics</w:t>
      </w:r>
      <w:r w:rsidR="0063186D" w:rsidRPr="00815C06">
        <w:t xml:space="preserve"> </w:t>
      </w:r>
      <w:r w:rsidR="00EA0211" w:rsidRPr="00815C06">
        <w:t>et regroupements</w:t>
      </w:r>
      <w:r w:rsidR="000C48FC">
        <w:t xml:space="preserve"> dotés d’une personnalité morale</w:t>
      </w:r>
      <w:r w:rsidR="00EA0211" w:rsidRPr="00815C06">
        <w:t xml:space="preserve">, tels que les </w:t>
      </w:r>
      <w:r w:rsidR="00DC302B" w:rsidRPr="00815C06">
        <w:t xml:space="preserve">établissements d’enseignement supérieur, </w:t>
      </w:r>
      <w:r w:rsidR="00EA0211" w:rsidRPr="00815C06">
        <w:t xml:space="preserve">les </w:t>
      </w:r>
      <w:r w:rsidR="00DC302B" w:rsidRPr="00815C06">
        <w:t xml:space="preserve">organismes de recherche, </w:t>
      </w:r>
      <w:r w:rsidR="00815C06" w:rsidRPr="00815C06">
        <w:t xml:space="preserve">les grandes écoles, </w:t>
      </w:r>
      <w:r w:rsidR="00EA0211" w:rsidRPr="00815C06">
        <w:t>les COMUE</w:t>
      </w:r>
      <w:r w:rsidR="00815C06" w:rsidRPr="00815C06">
        <w:t xml:space="preserve"> ou les établissements expérimentaux</w:t>
      </w:r>
      <w:r w:rsidR="005D4EC4" w:rsidRPr="00815C06">
        <w:t>. Chaque établissement ne peut déposer qu’un seul projet.</w:t>
      </w:r>
    </w:p>
    <w:p w14:paraId="4F4D9CFD" w14:textId="58CBE904" w:rsidR="00FD3EBD" w:rsidRDefault="004E70B7" w:rsidP="00006297">
      <w:pPr>
        <w:pStyle w:val="Titre1"/>
      </w:pPr>
      <w:bookmarkStart w:id="7" w:name="_Toc147328746"/>
      <w:r>
        <w:t xml:space="preserve">3. </w:t>
      </w:r>
      <w:r w:rsidR="00AC44D2" w:rsidRPr="00F71862">
        <w:t>Modalités de sélection</w:t>
      </w:r>
      <w:r w:rsidR="00C35FFE">
        <w:t xml:space="preserve"> des dossiers</w:t>
      </w:r>
      <w:bookmarkEnd w:id="7"/>
    </w:p>
    <w:p w14:paraId="6052B9D9" w14:textId="77777777" w:rsidR="00006297" w:rsidRPr="00006297" w:rsidRDefault="00006297" w:rsidP="00006297"/>
    <w:p w14:paraId="6F8C7F2F" w14:textId="3BD98F4E" w:rsidR="008F295E" w:rsidRDefault="004E70B7" w:rsidP="00006297">
      <w:pPr>
        <w:pStyle w:val="Titre2"/>
      </w:pPr>
      <w:bookmarkStart w:id="8" w:name="_Toc147328747"/>
      <w:r>
        <w:t xml:space="preserve">3.1 </w:t>
      </w:r>
      <w:r w:rsidR="00466619">
        <w:t>C</w:t>
      </w:r>
      <w:r w:rsidR="008F295E" w:rsidRPr="008F295E">
        <w:t>ontenu du dossier de candidature</w:t>
      </w:r>
      <w:bookmarkEnd w:id="8"/>
    </w:p>
    <w:p w14:paraId="5DF6EA3D" w14:textId="77777777" w:rsidR="00006297" w:rsidRPr="00006297" w:rsidRDefault="00006297" w:rsidP="00006297"/>
    <w:p w14:paraId="7BF80FC7" w14:textId="77777777" w:rsidR="008F295E" w:rsidRDefault="00707647" w:rsidP="00AC74B9">
      <w:pPr>
        <w:jc w:val="both"/>
      </w:pPr>
      <w:r w:rsidRPr="00D66A1D">
        <w:t xml:space="preserve">Les </w:t>
      </w:r>
      <w:r w:rsidR="000F37FA" w:rsidRPr="00D66A1D">
        <w:t>dossiers de candidature</w:t>
      </w:r>
      <w:r w:rsidRPr="00D66A1D">
        <w:t xml:space="preserve"> s’appuieront sur le cadre de réponse fourni en annexe</w:t>
      </w:r>
      <w:r>
        <w:t xml:space="preserve">. </w:t>
      </w:r>
      <w:r w:rsidR="000F37FA">
        <w:t>Ils</w:t>
      </w:r>
      <w:r w:rsidR="008F295E">
        <w:t xml:space="preserve"> devront comporter les pièces suivantes :</w:t>
      </w:r>
    </w:p>
    <w:p w14:paraId="76824019" w14:textId="5ACFC33E" w:rsidR="00AC44D2" w:rsidRDefault="008F295E" w:rsidP="00AC74B9">
      <w:pPr>
        <w:jc w:val="both"/>
      </w:pPr>
      <w:r w:rsidRPr="001E4395">
        <w:t xml:space="preserve">- </w:t>
      </w:r>
      <w:r w:rsidR="002446BD">
        <w:t>u</w:t>
      </w:r>
      <w:r w:rsidR="00005D7C" w:rsidRPr="001E4395">
        <w:t>ne lettre d’int</w:t>
      </w:r>
      <w:r w:rsidR="00F402A5">
        <w:t>ention signée par le chef</w:t>
      </w:r>
      <w:r w:rsidR="00005D7C" w:rsidRPr="001E4395">
        <w:t xml:space="preserve"> de l’</w:t>
      </w:r>
      <w:r w:rsidRPr="001E4395">
        <w:t>établissement candidat</w:t>
      </w:r>
      <w:r w:rsidR="00C34A15" w:rsidRPr="001E4395">
        <w:t xml:space="preserve"> </w:t>
      </w:r>
      <w:r w:rsidR="00466619" w:rsidRPr="001E4395">
        <w:t>;</w:t>
      </w:r>
    </w:p>
    <w:p w14:paraId="7DE1F431" w14:textId="338FB2BE" w:rsidR="00466619" w:rsidRPr="001E4395" w:rsidRDefault="00707647" w:rsidP="00707647">
      <w:pPr>
        <w:jc w:val="both"/>
      </w:pPr>
      <w:r>
        <w:t>- u</w:t>
      </w:r>
      <w:r w:rsidR="008F295E" w:rsidRPr="001E4395">
        <w:t>n état des lieux de la situation de l’</w:t>
      </w:r>
      <w:r w:rsidR="00AC44D2" w:rsidRPr="001E4395">
        <w:t xml:space="preserve">établissement justifiant </w:t>
      </w:r>
      <w:r w:rsidR="00960891" w:rsidRPr="001E4395">
        <w:t>de son implication sur des thématiques constitu</w:t>
      </w:r>
      <w:r w:rsidR="00C34A15" w:rsidRPr="001E4395">
        <w:t>ant le cœur des missions du GIS</w:t>
      </w:r>
      <w:r w:rsidR="00466619" w:rsidRPr="001E4395">
        <w:t> </w:t>
      </w:r>
      <w:r w:rsidR="00BD3CF6">
        <w:t xml:space="preserve">(3 pages maximum) </w:t>
      </w:r>
      <w:r w:rsidR="00466619" w:rsidRPr="001E4395">
        <w:t>;</w:t>
      </w:r>
    </w:p>
    <w:p w14:paraId="6061F868" w14:textId="6F962A98" w:rsidR="008F295E" w:rsidRPr="001E4395" w:rsidRDefault="00707647" w:rsidP="00707647">
      <w:pPr>
        <w:jc w:val="both"/>
      </w:pPr>
      <w:r>
        <w:t>- u</w:t>
      </w:r>
      <w:r w:rsidR="008F295E" w:rsidRPr="001E4395">
        <w:t>n</w:t>
      </w:r>
      <w:r w:rsidR="00732A48" w:rsidRPr="001E4395">
        <w:t>e descri</w:t>
      </w:r>
      <w:r w:rsidR="00D84395" w:rsidRPr="001E4395">
        <w:t>p</w:t>
      </w:r>
      <w:r w:rsidR="00732A48" w:rsidRPr="001E4395">
        <w:t>t</w:t>
      </w:r>
      <w:r w:rsidR="00D84395" w:rsidRPr="001E4395">
        <w:t>ion de l’organisation proposée par l’établissement</w:t>
      </w:r>
      <w:r w:rsidR="008F295E" w:rsidRPr="001E4395">
        <w:t xml:space="preserve"> pour assumer ses missions en tant que structure porteuse du GIS (services impl</w:t>
      </w:r>
      <w:r w:rsidR="00DC6989" w:rsidRPr="001E4395">
        <w:t xml:space="preserve">iqués, </w:t>
      </w:r>
      <w:r w:rsidR="00BD3CF6">
        <w:t>moyens, modalités de coordination</w:t>
      </w:r>
      <w:r w:rsidR="008F295E" w:rsidRPr="001E4395">
        <w:t>)</w:t>
      </w:r>
      <w:r w:rsidR="00BD3CF6">
        <w:t xml:space="preserve"> (3 pages maximum)</w:t>
      </w:r>
      <w:r w:rsidR="008F295E" w:rsidRPr="001E4395">
        <w:t>.</w:t>
      </w:r>
    </w:p>
    <w:p w14:paraId="29838A52" w14:textId="77777777" w:rsidR="005C3B74" w:rsidRDefault="00466619" w:rsidP="007F7D82">
      <w:pPr>
        <w:jc w:val="both"/>
      </w:pPr>
      <w:r>
        <w:t>Ces pièces pourront être accompagnées de tous documents jugés utiles</w:t>
      </w:r>
      <w:r w:rsidR="00B34C65">
        <w:t xml:space="preserve"> pour attester de la situation de l’établissement</w:t>
      </w:r>
      <w:r w:rsidR="003E260F">
        <w:t xml:space="preserve"> et de sa capacité à assumer le rôle d’établissement porteur du GIS</w:t>
      </w:r>
      <w:r w:rsidR="00B34C65">
        <w:t>.</w:t>
      </w:r>
      <w:r w:rsidR="002446BD">
        <w:t xml:space="preserve"> </w:t>
      </w:r>
    </w:p>
    <w:p w14:paraId="55C24FC7" w14:textId="084A43BA" w:rsidR="007F7D82" w:rsidRDefault="004E70B7" w:rsidP="00006297">
      <w:pPr>
        <w:pStyle w:val="Titre2"/>
      </w:pPr>
      <w:bookmarkStart w:id="9" w:name="_Toc147328748"/>
      <w:r>
        <w:lastRenderedPageBreak/>
        <w:t xml:space="preserve">3.2 </w:t>
      </w:r>
      <w:r w:rsidR="00B85395">
        <w:t>Conditions de recevabilité</w:t>
      </w:r>
      <w:bookmarkEnd w:id="9"/>
    </w:p>
    <w:p w14:paraId="28980CE5" w14:textId="77777777" w:rsidR="00006297" w:rsidRPr="00006297" w:rsidRDefault="00006297" w:rsidP="00006297"/>
    <w:p w14:paraId="1A7B6102" w14:textId="77777777" w:rsidR="007F7D82" w:rsidRDefault="007F7D82" w:rsidP="007F7D82">
      <w:pPr>
        <w:jc w:val="both"/>
      </w:pPr>
      <w:r>
        <w:t>Pour être examinés, les dossiers présentés devront respecter les conditions suivantes :</w:t>
      </w:r>
    </w:p>
    <w:p w14:paraId="72F73830" w14:textId="77777777" w:rsidR="00691500" w:rsidRDefault="007F7D82" w:rsidP="00691500">
      <w:pPr>
        <w:pStyle w:val="Paragraphedeliste"/>
        <w:numPr>
          <w:ilvl w:val="0"/>
          <w:numId w:val="1"/>
        </w:numPr>
        <w:jc w:val="both"/>
      </w:pPr>
      <w:r>
        <w:t>Être transmis dans les délais imparti</w:t>
      </w:r>
      <w:r w:rsidR="00E02F6B">
        <w:t>s, sous forme électronique</w:t>
      </w:r>
      <w:r w:rsidR="00A10441">
        <w:t xml:space="preserve"> uniquement</w:t>
      </w:r>
      <w:r w:rsidR="00E02F6B">
        <w:t xml:space="preserve">, aux </w:t>
      </w:r>
      <w:r w:rsidR="00386C75">
        <w:t>adresse</w:t>
      </w:r>
      <w:r w:rsidR="00E02F6B">
        <w:t>s</w:t>
      </w:r>
      <w:r w:rsidR="00386C75">
        <w:t xml:space="preserve"> suivante</w:t>
      </w:r>
      <w:r w:rsidR="00E02F6B">
        <w:t>s</w:t>
      </w:r>
      <w:r>
        <w:t> :</w:t>
      </w:r>
      <w:r w:rsidR="00940BB5">
        <w:t> </w:t>
      </w:r>
    </w:p>
    <w:p w14:paraId="6BF099E8" w14:textId="77A874FB" w:rsidR="00691500" w:rsidRDefault="00405904" w:rsidP="00691500">
      <w:pPr>
        <w:ind w:left="360"/>
        <w:jc w:val="both"/>
      </w:pPr>
      <w:hyperlink r:id="rId9" w:history="1">
        <w:r w:rsidR="00691500">
          <w:rPr>
            <w:rStyle w:val="Lienhypertexte"/>
          </w:rPr>
          <w:t>odile.contat@enseignementsup.gouv.fr</w:t>
        </w:r>
      </w:hyperlink>
      <w:r w:rsidR="00691500">
        <w:t> </w:t>
      </w:r>
    </w:p>
    <w:p w14:paraId="0A4549CB" w14:textId="37175CDF" w:rsidR="00E02F6B" w:rsidRDefault="00405904" w:rsidP="00691500">
      <w:pPr>
        <w:ind w:left="360"/>
        <w:jc w:val="both"/>
      </w:pPr>
      <w:hyperlink r:id="rId10" w:history="1">
        <w:r w:rsidR="00691500" w:rsidRPr="00691500">
          <w:rPr>
            <w:rStyle w:val="Lienhypertexte"/>
          </w:rPr>
          <w:t>ghislaine.gauthier-mestron@recherche.gouv.fr</w:t>
        </w:r>
      </w:hyperlink>
    </w:p>
    <w:p w14:paraId="1F2CAFD7" w14:textId="77777777" w:rsidR="007F7D82" w:rsidRDefault="007F7D82" w:rsidP="007F7D82">
      <w:pPr>
        <w:pStyle w:val="Paragraphedeliste"/>
        <w:numPr>
          <w:ilvl w:val="0"/>
          <w:numId w:val="1"/>
        </w:numPr>
        <w:jc w:val="both"/>
      </w:pPr>
      <w:r>
        <w:t>Être complets</w:t>
      </w:r>
      <w:r w:rsidR="004712B3">
        <w:t xml:space="preserve"> </w:t>
      </w:r>
      <w:r>
        <w:t>;</w:t>
      </w:r>
    </w:p>
    <w:p w14:paraId="10627C56" w14:textId="77777777" w:rsidR="007F7D82" w:rsidRDefault="007F7D82" w:rsidP="007F7D82">
      <w:pPr>
        <w:pStyle w:val="Paragraphedeliste"/>
        <w:numPr>
          <w:ilvl w:val="0"/>
          <w:numId w:val="1"/>
        </w:numPr>
        <w:jc w:val="both"/>
      </w:pPr>
      <w:r>
        <w:t>Êt</w:t>
      </w:r>
      <w:r w:rsidR="004712B3">
        <w:t>re rédigés en langue française.</w:t>
      </w:r>
    </w:p>
    <w:p w14:paraId="2D48AFAF" w14:textId="6701070A" w:rsidR="007F7D82" w:rsidRDefault="007F7D82" w:rsidP="003400B6">
      <w:pPr>
        <w:jc w:val="both"/>
      </w:pPr>
      <w:r>
        <w:t>Les dossiers ne satisfaisant pas aux conditions de recevabilité ne seront pas soumis à évaluation.</w:t>
      </w:r>
    </w:p>
    <w:p w14:paraId="2D77FB1A" w14:textId="77777777" w:rsidR="004E70B7" w:rsidRPr="008F295E" w:rsidRDefault="004E70B7" w:rsidP="003400B6">
      <w:pPr>
        <w:jc w:val="both"/>
      </w:pPr>
    </w:p>
    <w:p w14:paraId="58888824" w14:textId="7DF0422A" w:rsidR="008F295E" w:rsidRDefault="007F7D82" w:rsidP="00006297">
      <w:pPr>
        <w:pStyle w:val="Titre2"/>
      </w:pPr>
      <w:bookmarkStart w:id="10" w:name="_Toc147328749"/>
      <w:r>
        <w:t xml:space="preserve">3.3 </w:t>
      </w:r>
      <w:r w:rsidR="008F295E">
        <w:t>Critères de sélection</w:t>
      </w:r>
      <w:bookmarkEnd w:id="10"/>
    </w:p>
    <w:p w14:paraId="052748B0" w14:textId="77777777" w:rsidR="00006297" w:rsidRPr="00006297" w:rsidRDefault="00006297" w:rsidP="00006297"/>
    <w:p w14:paraId="08DBB66E" w14:textId="7D69D27B" w:rsidR="00494ED6" w:rsidRDefault="00494ED6" w:rsidP="00AC74B9">
      <w:pPr>
        <w:jc w:val="both"/>
      </w:pPr>
      <w:r>
        <w:t>Les projets reçus seront transmis à une commissio</w:t>
      </w:r>
      <w:r w:rsidR="007C5ECC">
        <w:t>n d’évaluation constituée par le</w:t>
      </w:r>
      <w:r w:rsidR="00492584">
        <w:t xml:space="preserve"> m</w:t>
      </w:r>
      <w:r w:rsidR="0009124A">
        <w:t>ini</w:t>
      </w:r>
      <w:r w:rsidR="00CB3B1B">
        <w:t xml:space="preserve">stère </w:t>
      </w:r>
      <w:r w:rsidR="009C595B">
        <w:t>en charge de l’e</w:t>
      </w:r>
      <w:r>
        <w:t xml:space="preserve">nseignement supérieur et de la recherche. Cette </w:t>
      </w:r>
      <w:r w:rsidR="00564649">
        <w:t>commission pourra le cas échéant</w:t>
      </w:r>
      <w:r>
        <w:t xml:space="preserve"> faire appel à des experts extérieurs.</w:t>
      </w:r>
      <w:r w:rsidR="001D5815">
        <w:t xml:space="preserve"> A l’issue de l’examen des dossiers, la commission d’évaluation rencontrera les établissements pressentis.</w:t>
      </w:r>
    </w:p>
    <w:p w14:paraId="6FF25C45" w14:textId="748D890B" w:rsidR="00494ED6" w:rsidRDefault="00494ED6" w:rsidP="00AC74B9">
      <w:pPr>
        <w:jc w:val="both"/>
      </w:pPr>
      <w:r>
        <w:t>La</w:t>
      </w:r>
      <w:r w:rsidR="00492584">
        <w:t xml:space="preserve"> commission d’évaluation </w:t>
      </w:r>
      <w:r w:rsidR="002B54B9">
        <w:t>considérera</w:t>
      </w:r>
      <w:r>
        <w:t xml:space="preserve"> plus particulièrement les aspects suivants :</w:t>
      </w:r>
    </w:p>
    <w:p w14:paraId="3FCAB9C1" w14:textId="77777777" w:rsidR="005A702D" w:rsidRDefault="0093050B" w:rsidP="004B728F">
      <w:pPr>
        <w:pStyle w:val="Paragraphedeliste"/>
        <w:numPr>
          <w:ilvl w:val="0"/>
          <w:numId w:val="1"/>
        </w:numPr>
        <w:jc w:val="both"/>
      </w:pPr>
      <w:r>
        <w:t>Le statut</w:t>
      </w:r>
      <w:r w:rsidR="005A702D" w:rsidRPr="0093050B">
        <w:t xml:space="preserve"> </w:t>
      </w:r>
      <w:r w:rsidR="00235B2D">
        <w:t xml:space="preserve">d’établissement public </w:t>
      </w:r>
      <w:r w:rsidR="00E02F6B">
        <w:t>et la domiciliation en France ;</w:t>
      </w:r>
    </w:p>
    <w:p w14:paraId="5F44F029" w14:textId="77777777" w:rsidR="00494ED6" w:rsidRDefault="00905A0F" w:rsidP="00905A0F">
      <w:pPr>
        <w:pStyle w:val="Paragraphedeliste"/>
        <w:numPr>
          <w:ilvl w:val="0"/>
          <w:numId w:val="1"/>
        </w:numPr>
        <w:jc w:val="both"/>
      </w:pPr>
      <w:r w:rsidRPr="00940BB5">
        <w:t xml:space="preserve">L’implication </w:t>
      </w:r>
      <w:r w:rsidR="009A552B" w:rsidRPr="00940BB5">
        <w:t>d</w:t>
      </w:r>
      <w:r w:rsidR="0022663D" w:rsidRPr="00940BB5">
        <w:t xml:space="preserve">e l’établissement candidat </w:t>
      </w:r>
      <w:r w:rsidRPr="00940BB5">
        <w:t>sur les questions</w:t>
      </w:r>
      <w:r w:rsidR="00CB3B1B" w:rsidRPr="00940BB5">
        <w:t xml:space="preserve"> de </w:t>
      </w:r>
      <w:r w:rsidR="00131530">
        <w:t xml:space="preserve">ressources et </w:t>
      </w:r>
      <w:r w:rsidR="00940BB5" w:rsidRPr="00940BB5">
        <w:t>services documentaires à la recherche</w:t>
      </w:r>
      <w:r w:rsidR="00082DEB">
        <w:t> ;</w:t>
      </w:r>
    </w:p>
    <w:p w14:paraId="08B42A33" w14:textId="4C63FFC8" w:rsidR="007C5ECC" w:rsidRDefault="00905A0F" w:rsidP="003400B6">
      <w:pPr>
        <w:pStyle w:val="Paragraphedeliste"/>
        <w:numPr>
          <w:ilvl w:val="0"/>
          <w:numId w:val="1"/>
        </w:numPr>
        <w:jc w:val="both"/>
      </w:pPr>
      <w:r>
        <w:t xml:space="preserve">La capacité </w:t>
      </w:r>
      <w:r w:rsidR="009A552B">
        <w:t xml:space="preserve">de l’établissement candidat </w:t>
      </w:r>
      <w:r>
        <w:t xml:space="preserve">à assumer la </w:t>
      </w:r>
      <w:r w:rsidR="000B4BBA">
        <w:t xml:space="preserve">bonne </w:t>
      </w:r>
      <w:r w:rsidR="002A15B7">
        <w:t>gestion financière des moyens destinés au fonctionnement du</w:t>
      </w:r>
      <w:r>
        <w:t xml:space="preserve"> GIS</w:t>
      </w:r>
      <w:r w:rsidR="00CE354F">
        <w:t>, en y consacrant les moyens appropriés</w:t>
      </w:r>
      <w:r>
        <w:t>.</w:t>
      </w:r>
    </w:p>
    <w:p w14:paraId="33588648" w14:textId="77777777" w:rsidR="004E70B7" w:rsidRDefault="004E70B7" w:rsidP="004E70B7">
      <w:pPr>
        <w:ind w:left="360"/>
        <w:jc w:val="both"/>
      </w:pPr>
    </w:p>
    <w:p w14:paraId="02C3A53F" w14:textId="61288E0E" w:rsidR="007C5ECC" w:rsidRDefault="007F7D82" w:rsidP="004E70B7">
      <w:pPr>
        <w:pStyle w:val="Titre1"/>
      </w:pPr>
      <w:bookmarkStart w:id="11" w:name="_Toc147328750"/>
      <w:r w:rsidRPr="00F71862">
        <w:t>4</w:t>
      </w:r>
      <w:r w:rsidR="007C5ECC" w:rsidRPr="00F71862">
        <w:t>. Calendrier de l’appel à manifestation d’intérêt</w:t>
      </w:r>
      <w:bookmarkEnd w:id="11"/>
    </w:p>
    <w:p w14:paraId="6BDEA5C5" w14:textId="77777777" w:rsidR="004E70B7" w:rsidRPr="004E70B7" w:rsidRDefault="004E70B7" w:rsidP="004E70B7"/>
    <w:p w14:paraId="26A716A3" w14:textId="54C769A4" w:rsidR="007C5ECC" w:rsidRPr="00814532" w:rsidRDefault="007C5ECC" w:rsidP="007C5ECC">
      <w:pPr>
        <w:jc w:val="both"/>
        <w:rPr>
          <w:color w:val="FF0000"/>
        </w:rPr>
      </w:pPr>
      <w:r>
        <w:t>Lancement de l’appel à manifestation d’intérêt :</w:t>
      </w:r>
      <w:r w:rsidR="009A0580">
        <w:t> </w:t>
      </w:r>
      <w:r w:rsidR="00CF61CB" w:rsidRPr="00264A97">
        <w:rPr>
          <w:b/>
          <w:color w:val="E36C0A" w:themeColor="accent6" w:themeShade="BF"/>
        </w:rPr>
        <w:t>0</w:t>
      </w:r>
      <w:r w:rsidR="00DC3992" w:rsidRPr="00264A97">
        <w:rPr>
          <w:b/>
          <w:color w:val="E36C0A" w:themeColor="accent6" w:themeShade="BF"/>
        </w:rPr>
        <w:t>6</w:t>
      </w:r>
      <w:r w:rsidR="00FA0391" w:rsidRPr="00264A97">
        <w:rPr>
          <w:b/>
          <w:color w:val="E36C0A" w:themeColor="accent6" w:themeShade="BF"/>
        </w:rPr>
        <w:t xml:space="preserve"> octobre</w:t>
      </w:r>
      <w:r w:rsidR="00814532" w:rsidRPr="00264A97">
        <w:rPr>
          <w:b/>
          <w:color w:val="E36C0A" w:themeColor="accent6" w:themeShade="BF"/>
        </w:rPr>
        <w:t xml:space="preserve"> 2023</w:t>
      </w:r>
    </w:p>
    <w:p w14:paraId="731C4042" w14:textId="081D5EC8" w:rsidR="007C5ECC" w:rsidRPr="007920B4" w:rsidRDefault="007C5ECC" w:rsidP="007C5ECC">
      <w:pPr>
        <w:jc w:val="both"/>
        <w:rPr>
          <w:b/>
          <w:color w:val="FF0000"/>
        </w:rPr>
      </w:pPr>
      <w:r w:rsidRPr="00477F38">
        <w:t>Date limite de soumission des candidatures </w:t>
      </w:r>
      <w:r w:rsidRPr="007920B4">
        <w:t>:</w:t>
      </w:r>
      <w:r w:rsidR="009A0580" w:rsidRPr="007920B4">
        <w:t> </w:t>
      </w:r>
      <w:r w:rsidR="0064381A" w:rsidRPr="007920B4">
        <w:rPr>
          <w:b/>
        </w:rPr>
        <w:t xml:space="preserve"> </w:t>
      </w:r>
      <w:r w:rsidR="00264A97" w:rsidRPr="00264A97">
        <w:rPr>
          <w:b/>
          <w:color w:val="E36C0A" w:themeColor="accent6" w:themeShade="BF"/>
        </w:rPr>
        <w:t>0</w:t>
      </w:r>
      <w:r w:rsidR="00D1202F" w:rsidRPr="00264A97">
        <w:rPr>
          <w:b/>
          <w:color w:val="E36C0A" w:themeColor="accent6" w:themeShade="BF"/>
        </w:rPr>
        <w:t>6</w:t>
      </w:r>
      <w:r w:rsidR="00FA0391" w:rsidRPr="00264A97">
        <w:rPr>
          <w:b/>
          <w:color w:val="E36C0A" w:themeColor="accent6" w:themeShade="BF"/>
        </w:rPr>
        <w:t xml:space="preserve"> novembre</w:t>
      </w:r>
      <w:r w:rsidR="00814532" w:rsidRPr="00264A97">
        <w:rPr>
          <w:b/>
          <w:color w:val="E36C0A" w:themeColor="accent6" w:themeShade="BF"/>
        </w:rPr>
        <w:t xml:space="preserve"> 2023</w:t>
      </w:r>
    </w:p>
    <w:p w14:paraId="534C1A3C" w14:textId="5463DF12" w:rsidR="000244F1" w:rsidRDefault="000E05BB" w:rsidP="002B6D01">
      <w:pPr>
        <w:jc w:val="both"/>
        <w:rPr>
          <w:color w:val="FF0000"/>
        </w:rPr>
      </w:pPr>
      <w:r w:rsidRPr="007920B4">
        <w:t>Date de désignation de l’établissement porteur choisi :</w:t>
      </w:r>
      <w:r w:rsidR="009A0580" w:rsidRPr="007920B4">
        <w:t> </w:t>
      </w:r>
      <w:r w:rsidR="00D1202F" w:rsidRPr="00264A97">
        <w:rPr>
          <w:b/>
          <w:color w:val="E36C0A" w:themeColor="accent6" w:themeShade="BF"/>
        </w:rPr>
        <w:t>30 novembre</w:t>
      </w:r>
      <w:r w:rsidR="00814532" w:rsidRPr="00264A97">
        <w:rPr>
          <w:b/>
          <w:color w:val="E36C0A" w:themeColor="accent6" w:themeShade="BF"/>
        </w:rPr>
        <w:t xml:space="preserve"> 2023</w:t>
      </w:r>
    </w:p>
    <w:p w14:paraId="1BCA71CB" w14:textId="1324BD3D" w:rsidR="004E70B7" w:rsidRDefault="004E70B7" w:rsidP="002B6D01">
      <w:pPr>
        <w:jc w:val="both"/>
        <w:rPr>
          <w:b/>
          <w:color w:val="FF0000"/>
        </w:rPr>
      </w:pPr>
      <w:r>
        <w:rPr>
          <w:b/>
          <w:color w:val="FF0000"/>
        </w:rPr>
        <w:br w:type="page"/>
      </w:r>
    </w:p>
    <w:p w14:paraId="29975434" w14:textId="4FE64F36" w:rsidR="00FC17C9" w:rsidRDefault="007F7D82" w:rsidP="004E70B7">
      <w:pPr>
        <w:pStyle w:val="Titre1"/>
      </w:pPr>
      <w:bookmarkStart w:id="12" w:name="_Toc147328751"/>
      <w:r w:rsidRPr="00F71862">
        <w:lastRenderedPageBreak/>
        <w:t>5</w:t>
      </w:r>
      <w:r w:rsidR="005979A6" w:rsidRPr="00F71862">
        <w:t>. Contact</w:t>
      </w:r>
      <w:r w:rsidR="00FC17C9" w:rsidRPr="00F71862">
        <w:t xml:space="preserve"> pour informations</w:t>
      </w:r>
      <w:bookmarkEnd w:id="12"/>
    </w:p>
    <w:p w14:paraId="5179ABE0" w14:textId="77777777" w:rsidR="004E70B7" w:rsidRPr="004E70B7" w:rsidRDefault="004E70B7" w:rsidP="004E70B7"/>
    <w:p w14:paraId="2D8611A7" w14:textId="7A3DDD44" w:rsidR="00494ED6" w:rsidRDefault="00405904" w:rsidP="00AC74B9">
      <w:pPr>
        <w:jc w:val="both"/>
      </w:pPr>
      <w:hyperlink r:id="rId11" w:history="1">
        <w:r w:rsidR="00691500" w:rsidRPr="003130DE">
          <w:rPr>
            <w:rStyle w:val="Lienhypertexte"/>
          </w:rPr>
          <w:t>odile.contat@enseignementsup.gouv.fr</w:t>
        </w:r>
      </w:hyperlink>
    </w:p>
    <w:p w14:paraId="0B600771" w14:textId="51B16F38" w:rsidR="00CB3B1B" w:rsidRDefault="00405904" w:rsidP="00AC74B9">
      <w:pPr>
        <w:jc w:val="both"/>
      </w:pPr>
      <w:hyperlink r:id="rId12" w:history="1">
        <w:r w:rsidR="009C2A42" w:rsidRPr="009C2A42">
          <w:rPr>
            <w:rStyle w:val="Lienhypertexte"/>
          </w:rPr>
          <w:t>marie-odile.illiano@enseignementsup.gouv.fr</w:t>
        </w:r>
      </w:hyperlink>
      <w:bookmarkStart w:id="13" w:name="_GoBack"/>
      <w:bookmarkEnd w:id="13"/>
    </w:p>
    <w:p w14:paraId="4C9D0EEC" w14:textId="77777777" w:rsidR="002B54B9" w:rsidRDefault="002B54B9" w:rsidP="00814532">
      <w:pPr>
        <w:pStyle w:val="Titre1"/>
        <w:jc w:val="center"/>
      </w:pPr>
      <w:r>
        <w:br w:type="page"/>
      </w:r>
    </w:p>
    <w:p w14:paraId="2E127B8D" w14:textId="5AB42930" w:rsidR="006D74A6" w:rsidRPr="003139D1" w:rsidRDefault="00814532" w:rsidP="00814532">
      <w:pPr>
        <w:pStyle w:val="Titre1"/>
        <w:jc w:val="center"/>
      </w:pPr>
      <w:bookmarkStart w:id="14" w:name="_Toc147328752"/>
      <w:r>
        <w:lastRenderedPageBreak/>
        <w:t>A</w:t>
      </w:r>
      <w:r w:rsidR="006D74A6" w:rsidRPr="003139D1">
        <w:t>ppel à manifestation d’intérêt</w:t>
      </w:r>
      <w:r w:rsidR="00EE1C92">
        <w:t xml:space="preserve"> – Cadre de réponse</w:t>
      </w:r>
      <w:bookmarkEnd w:id="14"/>
    </w:p>
    <w:p w14:paraId="365764C2" w14:textId="77777777" w:rsidR="00814532" w:rsidRDefault="006D74A6" w:rsidP="00814532">
      <w:pPr>
        <w:pStyle w:val="Sous-titre"/>
        <w:jc w:val="center"/>
      </w:pPr>
      <w:r w:rsidRPr="003139D1">
        <w:t>Désignation de l’établissement porteur du Groupement d’intér</w:t>
      </w:r>
      <w:r w:rsidR="00131530">
        <w:t>êt scientifique</w:t>
      </w:r>
    </w:p>
    <w:p w14:paraId="161AA2A6" w14:textId="1297F7AB" w:rsidR="006D74A6" w:rsidRDefault="009C6A84" w:rsidP="00814532">
      <w:pPr>
        <w:pStyle w:val="Sous-titre"/>
        <w:jc w:val="center"/>
      </w:pPr>
      <w:r>
        <w:t>« Infrastructure</w:t>
      </w:r>
      <w:r w:rsidR="00131530">
        <w:t xml:space="preserve"> de recherche </w:t>
      </w:r>
      <w:proofErr w:type="spellStart"/>
      <w:r w:rsidR="00131530">
        <w:t>CollEx</w:t>
      </w:r>
      <w:proofErr w:type="spellEnd"/>
      <w:r w:rsidR="00131530">
        <w:t>-</w:t>
      </w:r>
      <w:proofErr w:type="gramStart"/>
      <w:r w:rsidR="00131530">
        <w:t>Persée</w:t>
      </w:r>
      <w:r w:rsidR="006D74A6" w:rsidRPr="003139D1">
        <w:t>»</w:t>
      </w:r>
      <w:proofErr w:type="gramEnd"/>
    </w:p>
    <w:p w14:paraId="16DE664A" w14:textId="77777777" w:rsidR="006D74A6" w:rsidRDefault="006D74A6" w:rsidP="006D74A6">
      <w:pPr>
        <w:spacing w:after="0"/>
        <w:jc w:val="center"/>
        <w:rPr>
          <w:b/>
          <w:sz w:val="26"/>
          <w:szCs w:val="26"/>
        </w:rPr>
      </w:pPr>
    </w:p>
    <w:p w14:paraId="104625F4" w14:textId="77777777" w:rsidR="006D74A6" w:rsidRDefault="006D74A6" w:rsidP="006D74A6">
      <w:pPr>
        <w:jc w:val="center"/>
      </w:pPr>
    </w:p>
    <w:p w14:paraId="6E2ABE68" w14:textId="77777777" w:rsidR="006D74A6" w:rsidRPr="007D38A3" w:rsidRDefault="006D74A6" w:rsidP="006D74A6">
      <w:pPr>
        <w:pStyle w:val="Paragraphedeliste"/>
        <w:numPr>
          <w:ilvl w:val="1"/>
          <w:numId w:val="11"/>
        </w:numPr>
        <w:jc w:val="both"/>
        <w:rPr>
          <w:u w:val="single"/>
        </w:rPr>
      </w:pPr>
      <w:r w:rsidRPr="007D38A3">
        <w:rPr>
          <w:u w:val="single"/>
        </w:rPr>
        <w:t>Informations administratives</w:t>
      </w:r>
    </w:p>
    <w:p w14:paraId="78D78188" w14:textId="77777777" w:rsidR="006D74A6" w:rsidRDefault="006D74A6" w:rsidP="006D74A6">
      <w:pPr>
        <w:pStyle w:val="Paragraphedeliste"/>
        <w:ind w:left="360"/>
        <w:jc w:val="both"/>
      </w:pPr>
    </w:p>
    <w:p w14:paraId="7E913204" w14:textId="77777777" w:rsidR="006D74A6" w:rsidRDefault="006D74A6" w:rsidP="006D74A6">
      <w:pPr>
        <w:pStyle w:val="Paragraphedeliste"/>
        <w:ind w:left="360"/>
        <w:jc w:val="both"/>
      </w:pPr>
    </w:p>
    <w:p w14:paraId="2338CE26" w14:textId="77777777" w:rsidR="006D74A6" w:rsidRPr="003139D1" w:rsidRDefault="006D74A6" w:rsidP="006D74A6">
      <w:pPr>
        <w:pStyle w:val="Paragraphedelist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360"/>
        <w:rPr>
          <w:rFonts w:ascii="Calibri" w:hAnsi="Calibri"/>
          <w:color w:val="000000"/>
          <w:u w:val="single"/>
        </w:rPr>
      </w:pPr>
      <w:r w:rsidRPr="003139D1">
        <w:rPr>
          <w:rFonts w:ascii="Calibri" w:hAnsi="Calibri"/>
          <w:color w:val="000000"/>
          <w:u w:val="single"/>
        </w:rPr>
        <w:t>Etablissement porteur du projet :</w:t>
      </w:r>
    </w:p>
    <w:p w14:paraId="554943AC" w14:textId="77777777" w:rsidR="006D74A6" w:rsidRPr="003139D1" w:rsidRDefault="006D74A6" w:rsidP="006D74A6">
      <w:pPr>
        <w:pStyle w:val="Paragraphedelist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360"/>
        <w:rPr>
          <w:rFonts w:ascii="Calibri" w:hAnsi="Calibri"/>
          <w:color w:val="000000"/>
          <w:u w:val="single"/>
        </w:rPr>
      </w:pPr>
    </w:p>
    <w:p w14:paraId="76B5FC57" w14:textId="77777777" w:rsidR="006D74A6" w:rsidRPr="003139D1" w:rsidRDefault="006D74A6" w:rsidP="006D74A6">
      <w:pPr>
        <w:pStyle w:val="Paragraphedelist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360"/>
        <w:rPr>
          <w:rFonts w:ascii="Calibri" w:hAnsi="Calibri" w:cs="Calibri"/>
        </w:rPr>
      </w:pPr>
      <w:r w:rsidRPr="003139D1">
        <w:rPr>
          <w:rFonts w:ascii="Calibri" w:hAnsi="Calibri"/>
          <w:color w:val="000000"/>
        </w:rPr>
        <w:t xml:space="preserve">Désignation : </w:t>
      </w:r>
    </w:p>
    <w:p w14:paraId="3E9E9429" w14:textId="77777777" w:rsidR="006D74A6" w:rsidRPr="003139D1" w:rsidRDefault="006D74A6" w:rsidP="006D74A6">
      <w:pPr>
        <w:pStyle w:val="Paragraphedelist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360"/>
        <w:rPr>
          <w:rFonts w:ascii="Calibri" w:hAnsi="Calibri" w:cs="Calibri"/>
        </w:rPr>
      </w:pPr>
      <w:r w:rsidRPr="003139D1">
        <w:rPr>
          <w:rFonts w:ascii="Calibri" w:hAnsi="Calibri" w:cs="Calibri"/>
        </w:rPr>
        <w:t xml:space="preserve">Numéro Siret : </w:t>
      </w:r>
    </w:p>
    <w:p w14:paraId="64A6BACA" w14:textId="77777777" w:rsidR="006D74A6" w:rsidRPr="003139D1" w:rsidRDefault="006D74A6" w:rsidP="006D74A6">
      <w:pPr>
        <w:pStyle w:val="Paragraphedelist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360"/>
        <w:rPr>
          <w:rFonts w:ascii="Calibri" w:hAnsi="Calibri" w:cs="Calibri"/>
        </w:rPr>
      </w:pPr>
      <w:r w:rsidRPr="003139D1">
        <w:rPr>
          <w:rFonts w:ascii="Calibri" w:hAnsi="Calibri" w:cs="Calibri"/>
        </w:rPr>
        <w:t xml:space="preserve">Coordonnées postales : </w:t>
      </w:r>
    </w:p>
    <w:p w14:paraId="6B58C5AD" w14:textId="77777777" w:rsidR="006D74A6" w:rsidRPr="003139D1" w:rsidRDefault="006D74A6" w:rsidP="006D74A6">
      <w:pPr>
        <w:pStyle w:val="Paragraphedelist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360"/>
        <w:rPr>
          <w:rFonts w:ascii="Calibri" w:hAnsi="Calibri" w:cs="Calibri"/>
        </w:rPr>
      </w:pPr>
    </w:p>
    <w:p w14:paraId="47A46613" w14:textId="77777777" w:rsidR="006D74A6" w:rsidRPr="003139D1" w:rsidRDefault="006D74A6" w:rsidP="006D74A6">
      <w:pPr>
        <w:pStyle w:val="Paragraphedelist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360"/>
        <w:rPr>
          <w:rFonts w:ascii="Calibri" w:hAnsi="Calibri" w:cs="Calibri"/>
        </w:rPr>
      </w:pPr>
    </w:p>
    <w:p w14:paraId="08ECB3DB" w14:textId="77777777" w:rsidR="006D74A6" w:rsidRPr="003139D1" w:rsidRDefault="006D74A6" w:rsidP="006D74A6">
      <w:pPr>
        <w:pStyle w:val="Paragraphedeliste"/>
        <w:spacing w:line="360" w:lineRule="auto"/>
        <w:ind w:left="360"/>
        <w:rPr>
          <w:rFonts w:ascii="Calibri" w:hAnsi="Calibri" w:cs="Calibri"/>
        </w:rPr>
      </w:pPr>
      <w:proofErr w:type="gramStart"/>
      <w:r w:rsidRPr="003139D1">
        <w:rPr>
          <w:rFonts w:ascii="Calibri" w:hAnsi="Calibri" w:cs="Calibri"/>
          <w:u w:val="single"/>
        </w:rPr>
        <w:t>Personne ayant</w:t>
      </w:r>
      <w:proofErr w:type="gramEnd"/>
      <w:r w:rsidRPr="003139D1">
        <w:rPr>
          <w:rFonts w:ascii="Calibri" w:hAnsi="Calibri" w:cs="Calibri"/>
          <w:u w:val="single"/>
        </w:rPr>
        <w:t xml:space="preserve"> qualité pour engager l’établissement porteur du projet </w:t>
      </w:r>
      <w:r w:rsidRPr="003139D1">
        <w:rPr>
          <w:rFonts w:ascii="Calibri" w:hAnsi="Calibri" w:cs="Calibri"/>
        </w:rPr>
        <w:t>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536"/>
        <w:gridCol w:w="7705"/>
      </w:tblGrid>
      <w:tr w:rsidR="006D74A6" w:rsidRPr="00960939" w14:paraId="06B58C84" w14:textId="77777777" w:rsidTr="00A207C0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CA0F0" w14:textId="77777777" w:rsidR="006D74A6" w:rsidRPr="00960939" w:rsidRDefault="006D74A6" w:rsidP="00A207C0">
            <w:pPr>
              <w:spacing w:line="360" w:lineRule="auto"/>
              <w:rPr>
                <w:rFonts w:ascii="Calibri" w:hAnsi="Calibri" w:cs="Calibri"/>
              </w:rPr>
            </w:pPr>
            <w:r w:rsidRPr="00960939">
              <w:rPr>
                <w:rFonts w:ascii="Calibri" w:hAnsi="Calibri" w:cs="Calibri"/>
              </w:rPr>
              <w:t>Nom</w:t>
            </w:r>
            <w:r>
              <w:rPr>
                <w:rFonts w:ascii="Calibri" w:hAnsi="Calibri" w:cs="Calibri"/>
              </w:rPr>
              <w:t>, Prénom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702DD" w14:textId="77777777" w:rsidR="006D74A6" w:rsidRPr="00960939" w:rsidRDefault="006D74A6" w:rsidP="00A207C0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6D74A6" w:rsidRPr="00960939" w14:paraId="439D7083" w14:textId="77777777" w:rsidTr="00A207C0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C4837" w14:textId="77777777" w:rsidR="006D74A6" w:rsidRPr="00960939" w:rsidRDefault="006D74A6" w:rsidP="00A207C0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Qualité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B62E4" w14:textId="77777777" w:rsidR="006D74A6" w:rsidRPr="00960939" w:rsidRDefault="006D74A6" w:rsidP="00A207C0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6D74A6" w:rsidRPr="00960939" w14:paraId="2786F00A" w14:textId="77777777" w:rsidTr="00A207C0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22776" w14:textId="77777777" w:rsidR="006D74A6" w:rsidRDefault="006D74A6" w:rsidP="00A207C0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Courriel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0937D" w14:textId="77777777" w:rsidR="006D74A6" w:rsidRPr="00960939" w:rsidRDefault="006D74A6" w:rsidP="00A207C0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7EB36A00" w14:textId="77777777" w:rsidR="006D74A6" w:rsidRPr="003139D1" w:rsidRDefault="006D74A6" w:rsidP="006D74A6">
      <w:pPr>
        <w:pStyle w:val="Paragraphedelist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360"/>
        <w:rPr>
          <w:rFonts w:ascii="Calibri" w:hAnsi="Calibri"/>
          <w:color w:val="000000"/>
        </w:rPr>
      </w:pPr>
    </w:p>
    <w:p w14:paraId="43F66EF2" w14:textId="77777777" w:rsidR="006D74A6" w:rsidRPr="003139D1" w:rsidRDefault="006D74A6" w:rsidP="006D74A6">
      <w:pPr>
        <w:pStyle w:val="Paragraphedelist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360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u w:val="single"/>
        </w:rPr>
        <w:t>Le cas échéant, personne chargée du suivi du projet</w:t>
      </w:r>
      <w:r w:rsidRPr="003139D1">
        <w:rPr>
          <w:rFonts w:ascii="Calibri" w:hAnsi="Calibri"/>
          <w:color w:val="000000"/>
          <w:u w:val="single"/>
        </w:rPr>
        <w:t xml:space="preserve">: </w:t>
      </w:r>
    </w:p>
    <w:p w14:paraId="600B17F3" w14:textId="77777777" w:rsidR="006D74A6" w:rsidRPr="003139D1" w:rsidRDefault="006D74A6" w:rsidP="006D74A6">
      <w:pPr>
        <w:pStyle w:val="Paragraphedelist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360"/>
        <w:rPr>
          <w:rFonts w:ascii="Calibri" w:hAnsi="Calibri"/>
          <w:color w:val="00000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536"/>
        <w:gridCol w:w="7705"/>
      </w:tblGrid>
      <w:tr w:rsidR="006D74A6" w:rsidRPr="00960939" w14:paraId="6A97F1B9" w14:textId="77777777" w:rsidTr="00A207C0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29D8B" w14:textId="77777777" w:rsidR="006D74A6" w:rsidRPr="00960939" w:rsidRDefault="006D74A6" w:rsidP="00A207C0">
            <w:pPr>
              <w:spacing w:line="360" w:lineRule="auto"/>
              <w:rPr>
                <w:rFonts w:ascii="Calibri" w:hAnsi="Calibri" w:cs="Calibri"/>
              </w:rPr>
            </w:pPr>
            <w:r w:rsidRPr="00960939">
              <w:rPr>
                <w:rFonts w:ascii="Calibri" w:hAnsi="Calibri" w:cs="Calibri"/>
              </w:rPr>
              <w:t>Nom</w:t>
            </w:r>
            <w:r>
              <w:rPr>
                <w:rFonts w:ascii="Calibri" w:hAnsi="Calibri" w:cs="Calibri"/>
              </w:rPr>
              <w:t>, Prénom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2B64A" w14:textId="77777777" w:rsidR="006D74A6" w:rsidRPr="00960939" w:rsidRDefault="006D74A6" w:rsidP="00A207C0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6D74A6" w:rsidRPr="00960939" w14:paraId="08C3CEBF" w14:textId="77777777" w:rsidTr="00A207C0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132ED" w14:textId="77777777" w:rsidR="006D74A6" w:rsidRPr="00960939" w:rsidRDefault="006D74A6" w:rsidP="00A207C0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Qualité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B9D71" w14:textId="77777777" w:rsidR="006D74A6" w:rsidRPr="00960939" w:rsidRDefault="006D74A6" w:rsidP="00A207C0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6D74A6" w:rsidRPr="00960939" w14:paraId="22614C8A" w14:textId="77777777" w:rsidTr="00A207C0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F2EEE" w14:textId="77777777" w:rsidR="006D74A6" w:rsidRDefault="006D74A6" w:rsidP="00A207C0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Courriel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84D7B" w14:textId="77777777" w:rsidR="006D74A6" w:rsidRPr="00960939" w:rsidRDefault="006D74A6" w:rsidP="00A207C0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6D74A6" w:rsidRPr="00960939" w14:paraId="2B884107" w14:textId="77777777" w:rsidTr="00A207C0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21058" w14:textId="77777777" w:rsidR="006D74A6" w:rsidRDefault="006D74A6" w:rsidP="00A207C0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Téléphone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9BB02" w14:textId="77777777" w:rsidR="006D74A6" w:rsidRPr="00960939" w:rsidRDefault="006D74A6" w:rsidP="00A207C0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2533626A" w14:textId="77777777" w:rsidR="006D74A6" w:rsidRDefault="006D74A6" w:rsidP="006D74A6">
      <w:pPr>
        <w:jc w:val="both"/>
      </w:pPr>
    </w:p>
    <w:p w14:paraId="3F53512D" w14:textId="77777777" w:rsidR="00D66A1D" w:rsidRDefault="00D66A1D" w:rsidP="006D74A6">
      <w:pPr>
        <w:jc w:val="both"/>
      </w:pPr>
    </w:p>
    <w:p w14:paraId="7A5E0EED" w14:textId="77777777" w:rsidR="006D74A6" w:rsidRPr="007D38A3" w:rsidRDefault="006D74A6" w:rsidP="006D74A6">
      <w:pPr>
        <w:pStyle w:val="Paragraphedeliste"/>
        <w:numPr>
          <w:ilvl w:val="0"/>
          <w:numId w:val="11"/>
        </w:numPr>
        <w:jc w:val="both"/>
        <w:rPr>
          <w:u w:val="single"/>
        </w:rPr>
      </w:pPr>
      <w:r w:rsidRPr="007D38A3">
        <w:rPr>
          <w:u w:val="single"/>
        </w:rPr>
        <w:t xml:space="preserve">Situation de l’établissement </w:t>
      </w:r>
    </w:p>
    <w:p w14:paraId="056F834D" w14:textId="77777777" w:rsidR="006D74A6" w:rsidRDefault="006D74A6" w:rsidP="006D74A6">
      <w:pPr>
        <w:pStyle w:val="Paragraphedeliste"/>
        <w:ind w:left="360"/>
        <w:jc w:val="both"/>
      </w:pPr>
    </w:p>
    <w:p w14:paraId="220CD55A" w14:textId="77777777" w:rsidR="006D74A6" w:rsidRDefault="006D74A6" w:rsidP="006D74A6">
      <w:pPr>
        <w:pStyle w:val="Paragraphedeliste"/>
        <w:ind w:left="360"/>
        <w:jc w:val="both"/>
      </w:pPr>
      <w:r>
        <w:t>Mentionner notamment :</w:t>
      </w:r>
    </w:p>
    <w:p w14:paraId="61618FE5" w14:textId="77777777" w:rsidR="006D74A6" w:rsidRDefault="006D74A6" w:rsidP="006D74A6">
      <w:pPr>
        <w:pStyle w:val="Paragraphedeliste"/>
        <w:numPr>
          <w:ilvl w:val="0"/>
          <w:numId w:val="12"/>
        </w:numPr>
        <w:jc w:val="both"/>
      </w:pPr>
      <w:r>
        <w:lastRenderedPageBreak/>
        <w:t xml:space="preserve">L’engagement de l’établissement dans des projets concernant </w:t>
      </w:r>
      <w:r w:rsidR="00131530">
        <w:t>les ressources et services documentaires à la recherche,</w:t>
      </w:r>
      <w:r>
        <w:t xml:space="preserve"> le cas échéant avec d’autres partenaires institutionnels.</w:t>
      </w:r>
    </w:p>
    <w:p w14:paraId="76DA38DA" w14:textId="77777777" w:rsidR="006D74A6" w:rsidRDefault="006D74A6" w:rsidP="006D74A6">
      <w:pPr>
        <w:jc w:val="both"/>
      </w:pPr>
    </w:p>
    <w:p w14:paraId="2CC3FC48" w14:textId="77777777" w:rsidR="006D74A6" w:rsidRPr="007D38A3" w:rsidRDefault="006D74A6" w:rsidP="006D74A6">
      <w:pPr>
        <w:pStyle w:val="Paragraphedeliste"/>
        <w:numPr>
          <w:ilvl w:val="0"/>
          <w:numId w:val="11"/>
        </w:numPr>
        <w:jc w:val="both"/>
        <w:rPr>
          <w:u w:val="single"/>
        </w:rPr>
      </w:pPr>
      <w:r>
        <w:rPr>
          <w:u w:val="single"/>
        </w:rPr>
        <w:t>Description de l’organisation proposée</w:t>
      </w:r>
    </w:p>
    <w:p w14:paraId="75B21E02" w14:textId="77777777" w:rsidR="006D74A6" w:rsidRDefault="006D74A6" w:rsidP="006D74A6">
      <w:pPr>
        <w:pStyle w:val="Paragraphedeliste"/>
        <w:ind w:left="360"/>
        <w:jc w:val="both"/>
      </w:pPr>
    </w:p>
    <w:p w14:paraId="4D363A59" w14:textId="77777777" w:rsidR="006D74A6" w:rsidRDefault="006D74A6" w:rsidP="006D74A6">
      <w:pPr>
        <w:pStyle w:val="Paragraphedeliste"/>
        <w:ind w:left="360"/>
        <w:jc w:val="both"/>
      </w:pPr>
      <w:r>
        <w:t>Mentionner notamment :</w:t>
      </w:r>
    </w:p>
    <w:p w14:paraId="3469397B" w14:textId="77777777" w:rsidR="006D74A6" w:rsidRDefault="006D74A6" w:rsidP="006D74A6">
      <w:pPr>
        <w:pStyle w:val="Paragraphedeliste"/>
        <w:numPr>
          <w:ilvl w:val="0"/>
          <w:numId w:val="12"/>
        </w:numPr>
        <w:jc w:val="both"/>
      </w:pPr>
      <w:r>
        <w:t xml:space="preserve">L’expertise de l’établissement sur le plan administratif permettant d’assumer les missions d’établissement porteur du GIS (environnement administratif, juridique, budgétaire…) </w:t>
      </w:r>
    </w:p>
    <w:p w14:paraId="43CEF2A8" w14:textId="77777777" w:rsidR="006D74A6" w:rsidRDefault="006D74A6" w:rsidP="006D74A6">
      <w:pPr>
        <w:pStyle w:val="Paragraphedeliste"/>
        <w:ind w:left="360"/>
        <w:jc w:val="both"/>
      </w:pPr>
    </w:p>
    <w:p w14:paraId="7540021A" w14:textId="77777777" w:rsidR="006D74A6" w:rsidRDefault="006D74A6" w:rsidP="00AC74B9">
      <w:pPr>
        <w:jc w:val="both"/>
      </w:pPr>
    </w:p>
    <w:sectPr w:rsidR="006D74A6" w:rsidSect="005F39A6">
      <w:footerReference w:type="default" r:id="rId13"/>
      <w:pgSz w:w="11906" w:h="16838"/>
      <w:pgMar w:top="1417" w:right="1417" w:bottom="1417" w:left="1417" w:header="708" w:footer="708" w:gutter="0"/>
      <w:pgBorders w:offsetFrom="page">
        <w:top w:val="single" w:sz="4" w:space="24" w:color="4F81BD" w:themeColor="accent1"/>
        <w:left w:val="single" w:sz="4" w:space="24" w:color="4F81BD" w:themeColor="accent1"/>
        <w:bottom w:val="single" w:sz="4" w:space="24" w:color="4F81BD" w:themeColor="accent1"/>
        <w:right w:val="single" w:sz="4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33CF1" w14:textId="77777777" w:rsidR="007A777E" w:rsidRDefault="007A777E" w:rsidP="00DB5F94">
      <w:pPr>
        <w:spacing w:after="0" w:line="240" w:lineRule="auto"/>
      </w:pPr>
      <w:r>
        <w:separator/>
      </w:r>
    </w:p>
  </w:endnote>
  <w:endnote w:type="continuationSeparator" w:id="0">
    <w:p w14:paraId="5E7751F3" w14:textId="77777777" w:rsidR="007A777E" w:rsidRDefault="007A777E" w:rsidP="00DB5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122024808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14:paraId="662A3D35" w14:textId="77777777" w:rsidR="00DB5F94" w:rsidRDefault="00DB5F94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8A2CB6" wp14:editId="73E2471D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532737" cy="522688"/>
                      <wp:effectExtent l="0" t="0" r="1270" b="0"/>
                      <wp:wrapNone/>
                      <wp:docPr id="560" name="Ellips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737" cy="5226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CF0D42" w14:textId="08FEF311" w:rsidR="00DB5F94" w:rsidRDefault="00DB5F94">
                                  <w:pPr>
                                    <w:pStyle w:val="Pieddepage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</w:rPr>
                                    <w:fldChar w:fldCharType="separate"/>
                                  </w:r>
                                  <w:r w:rsidR="00405904" w:rsidRPr="00405904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8A2CB6" id="Ellipse 10" o:spid="_x0000_s1026" style="position:absolute;margin-left:0;margin-top:0;width:41.95pt;height:41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" fillcolor="#40618b" stroked="f">
                      <v:textbox inset="0,,0">
                        <w:txbxContent>
                          <w:p w14:paraId="4ACF0D42" w14:textId="08FEF311" w:rsidR="00DB5F94" w:rsidRDefault="00DB5F94">
                            <w:pPr>
                              <w:pStyle w:val="Pieddepage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</w:rPr>
                              <w:fldChar w:fldCharType="separate"/>
                            </w:r>
                            <w:r w:rsidR="00405904" w:rsidRPr="00405904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7D7AF8BC" w14:textId="77777777" w:rsidR="00DB5F94" w:rsidRDefault="00DB5F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D9EEA" w14:textId="77777777" w:rsidR="007A777E" w:rsidRDefault="007A777E" w:rsidP="00DB5F94">
      <w:pPr>
        <w:spacing w:after="0" w:line="240" w:lineRule="auto"/>
      </w:pPr>
      <w:r>
        <w:separator/>
      </w:r>
    </w:p>
  </w:footnote>
  <w:footnote w:type="continuationSeparator" w:id="0">
    <w:p w14:paraId="66BFC0D0" w14:textId="77777777" w:rsidR="007A777E" w:rsidRDefault="007A777E" w:rsidP="00DB5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1F18"/>
    <w:multiLevelType w:val="hybridMultilevel"/>
    <w:tmpl w:val="3C805C06"/>
    <w:lvl w:ilvl="0" w:tplc="DEAE7C42">
      <w:start w:val="1"/>
      <w:numFmt w:val="bullet"/>
      <w:lvlText w:val="-"/>
      <w:lvlJc w:val="left"/>
      <w:pPr>
        <w:ind w:left="1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1EB55C">
      <w:start w:val="1"/>
      <w:numFmt w:val="bullet"/>
      <w:lvlText w:val="o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B0D2C6">
      <w:start w:val="1"/>
      <w:numFmt w:val="bullet"/>
      <w:lvlText w:val="▪"/>
      <w:lvlJc w:val="left"/>
      <w:pPr>
        <w:ind w:left="2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CA8976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ACCC42">
      <w:start w:val="1"/>
      <w:numFmt w:val="bullet"/>
      <w:lvlText w:val="o"/>
      <w:lvlJc w:val="left"/>
      <w:pPr>
        <w:ind w:left="3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4689D2">
      <w:start w:val="1"/>
      <w:numFmt w:val="bullet"/>
      <w:lvlText w:val="▪"/>
      <w:lvlJc w:val="left"/>
      <w:pPr>
        <w:ind w:left="4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06F16A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DA92EA">
      <w:start w:val="1"/>
      <w:numFmt w:val="bullet"/>
      <w:lvlText w:val="o"/>
      <w:lvlJc w:val="left"/>
      <w:pPr>
        <w:ind w:left="6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66FB12">
      <w:start w:val="1"/>
      <w:numFmt w:val="bullet"/>
      <w:lvlText w:val="▪"/>
      <w:lvlJc w:val="left"/>
      <w:pPr>
        <w:ind w:left="6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B2AF2"/>
    <w:multiLevelType w:val="hybridMultilevel"/>
    <w:tmpl w:val="999A2F9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7BD6A9F"/>
    <w:multiLevelType w:val="multilevel"/>
    <w:tmpl w:val="206E9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13B0BCC"/>
    <w:multiLevelType w:val="multilevel"/>
    <w:tmpl w:val="888497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1F56666"/>
    <w:multiLevelType w:val="multilevel"/>
    <w:tmpl w:val="608AF0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9CA5292"/>
    <w:multiLevelType w:val="hybridMultilevel"/>
    <w:tmpl w:val="8976EFD8"/>
    <w:lvl w:ilvl="0" w:tplc="EC50586C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D868A4"/>
    <w:multiLevelType w:val="multilevel"/>
    <w:tmpl w:val="31A613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449D0B50"/>
    <w:multiLevelType w:val="multilevel"/>
    <w:tmpl w:val="513827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6D93817"/>
    <w:multiLevelType w:val="multilevel"/>
    <w:tmpl w:val="36A4B8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D0C1523"/>
    <w:multiLevelType w:val="multilevel"/>
    <w:tmpl w:val="30E29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0AB75E5"/>
    <w:multiLevelType w:val="hybridMultilevel"/>
    <w:tmpl w:val="576AEA2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11302D"/>
    <w:multiLevelType w:val="hybridMultilevel"/>
    <w:tmpl w:val="BADE8BFE"/>
    <w:lvl w:ilvl="0" w:tplc="650E5B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40CCD"/>
    <w:multiLevelType w:val="hybridMultilevel"/>
    <w:tmpl w:val="EFEE18C0"/>
    <w:lvl w:ilvl="0" w:tplc="0BAAF7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F5DAA"/>
    <w:multiLevelType w:val="multilevel"/>
    <w:tmpl w:val="36FE3A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D9365CD"/>
    <w:multiLevelType w:val="multilevel"/>
    <w:tmpl w:val="760E5E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744D6D62"/>
    <w:multiLevelType w:val="multilevel"/>
    <w:tmpl w:val="62C49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3"/>
  </w:num>
  <w:num w:numId="2">
    <w:abstractNumId w:val="16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14"/>
  </w:num>
  <w:num w:numId="8">
    <w:abstractNumId w:val="9"/>
  </w:num>
  <w:num w:numId="9">
    <w:abstractNumId w:val="15"/>
  </w:num>
  <w:num w:numId="10">
    <w:abstractNumId w:val="5"/>
  </w:num>
  <w:num w:numId="11">
    <w:abstractNumId w:val="10"/>
  </w:num>
  <w:num w:numId="12">
    <w:abstractNumId w:val="1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6"/>
  </w:num>
  <w:num w:numId="24">
    <w:abstractNumId w:val="1"/>
  </w:num>
  <w:num w:numId="25">
    <w:abstractNumId w:val="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B9"/>
    <w:rsid w:val="00005D7C"/>
    <w:rsid w:val="00006297"/>
    <w:rsid w:val="00007079"/>
    <w:rsid w:val="00023EEE"/>
    <w:rsid w:val="000243A7"/>
    <w:rsid w:val="000244F1"/>
    <w:rsid w:val="00032569"/>
    <w:rsid w:val="00055D94"/>
    <w:rsid w:val="00082DEB"/>
    <w:rsid w:val="0009124A"/>
    <w:rsid w:val="000A2FB0"/>
    <w:rsid w:val="000A7F7B"/>
    <w:rsid w:val="000B07F5"/>
    <w:rsid w:val="000B352B"/>
    <w:rsid w:val="000B35BB"/>
    <w:rsid w:val="000B4BBA"/>
    <w:rsid w:val="000B4D02"/>
    <w:rsid w:val="000C001A"/>
    <w:rsid w:val="000C2D02"/>
    <w:rsid w:val="000C46BD"/>
    <w:rsid w:val="000C48FC"/>
    <w:rsid w:val="000E05BB"/>
    <w:rsid w:val="000F37FA"/>
    <w:rsid w:val="00104B57"/>
    <w:rsid w:val="00122917"/>
    <w:rsid w:val="00131530"/>
    <w:rsid w:val="00154F58"/>
    <w:rsid w:val="00156385"/>
    <w:rsid w:val="0016028D"/>
    <w:rsid w:val="00163E09"/>
    <w:rsid w:val="001909AB"/>
    <w:rsid w:val="001911F0"/>
    <w:rsid w:val="001B0B61"/>
    <w:rsid w:val="001C1E12"/>
    <w:rsid w:val="001D36BC"/>
    <w:rsid w:val="001D5815"/>
    <w:rsid w:val="001E4395"/>
    <w:rsid w:val="002051BE"/>
    <w:rsid w:val="00217A28"/>
    <w:rsid w:val="00225978"/>
    <w:rsid w:val="0022663D"/>
    <w:rsid w:val="00230F22"/>
    <w:rsid w:val="00235B2D"/>
    <w:rsid w:val="002446BD"/>
    <w:rsid w:val="002603BE"/>
    <w:rsid w:val="002623D5"/>
    <w:rsid w:val="00264A97"/>
    <w:rsid w:val="00264AE1"/>
    <w:rsid w:val="00265F98"/>
    <w:rsid w:val="002717E7"/>
    <w:rsid w:val="002821E2"/>
    <w:rsid w:val="002865FB"/>
    <w:rsid w:val="0029312F"/>
    <w:rsid w:val="00295898"/>
    <w:rsid w:val="002A15B7"/>
    <w:rsid w:val="002A79D9"/>
    <w:rsid w:val="002B54B9"/>
    <w:rsid w:val="002B6D01"/>
    <w:rsid w:val="002C2A92"/>
    <w:rsid w:val="002C56D7"/>
    <w:rsid w:val="002D1402"/>
    <w:rsid w:val="002E7EA4"/>
    <w:rsid w:val="00322AAC"/>
    <w:rsid w:val="003340EA"/>
    <w:rsid w:val="003400B6"/>
    <w:rsid w:val="00363D94"/>
    <w:rsid w:val="00386C75"/>
    <w:rsid w:val="00395DFF"/>
    <w:rsid w:val="003A66E2"/>
    <w:rsid w:val="003B51DC"/>
    <w:rsid w:val="003C17F6"/>
    <w:rsid w:val="003C1B12"/>
    <w:rsid w:val="003C5831"/>
    <w:rsid w:val="003D0A10"/>
    <w:rsid w:val="003E1F73"/>
    <w:rsid w:val="003E260F"/>
    <w:rsid w:val="003E3160"/>
    <w:rsid w:val="00405904"/>
    <w:rsid w:val="004069FC"/>
    <w:rsid w:val="004312DD"/>
    <w:rsid w:val="0044293E"/>
    <w:rsid w:val="00447C1C"/>
    <w:rsid w:val="0045202A"/>
    <w:rsid w:val="0045361A"/>
    <w:rsid w:val="004625C5"/>
    <w:rsid w:val="00466619"/>
    <w:rsid w:val="004712B3"/>
    <w:rsid w:val="00477F38"/>
    <w:rsid w:val="00492584"/>
    <w:rsid w:val="00494ED6"/>
    <w:rsid w:val="00497B35"/>
    <w:rsid w:val="004A2933"/>
    <w:rsid w:val="004A4912"/>
    <w:rsid w:val="004A693C"/>
    <w:rsid w:val="004A6A6F"/>
    <w:rsid w:val="004B728F"/>
    <w:rsid w:val="004C3FF1"/>
    <w:rsid w:val="004C749A"/>
    <w:rsid w:val="004E1AB0"/>
    <w:rsid w:val="004E70B7"/>
    <w:rsid w:val="004F1183"/>
    <w:rsid w:val="005029D5"/>
    <w:rsid w:val="005104FC"/>
    <w:rsid w:val="00510FFC"/>
    <w:rsid w:val="005336E5"/>
    <w:rsid w:val="005402F2"/>
    <w:rsid w:val="00555594"/>
    <w:rsid w:val="00564649"/>
    <w:rsid w:val="0058439F"/>
    <w:rsid w:val="005979A6"/>
    <w:rsid w:val="005A2222"/>
    <w:rsid w:val="005A2399"/>
    <w:rsid w:val="005A702D"/>
    <w:rsid w:val="005B20CF"/>
    <w:rsid w:val="005C2A7F"/>
    <w:rsid w:val="005C3B74"/>
    <w:rsid w:val="005D4EC4"/>
    <w:rsid w:val="005E11B6"/>
    <w:rsid w:val="005F04A0"/>
    <w:rsid w:val="005F39A6"/>
    <w:rsid w:val="00601C8D"/>
    <w:rsid w:val="0060673E"/>
    <w:rsid w:val="0062126F"/>
    <w:rsid w:val="00623079"/>
    <w:rsid w:val="0062346A"/>
    <w:rsid w:val="0063186D"/>
    <w:rsid w:val="0063451B"/>
    <w:rsid w:val="00637806"/>
    <w:rsid w:val="0064381A"/>
    <w:rsid w:val="006438C4"/>
    <w:rsid w:val="00645B77"/>
    <w:rsid w:val="00646BED"/>
    <w:rsid w:val="00657F9A"/>
    <w:rsid w:val="0066274C"/>
    <w:rsid w:val="006641D7"/>
    <w:rsid w:val="00665332"/>
    <w:rsid w:val="00691500"/>
    <w:rsid w:val="00694D15"/>
    <w:rsid w:val="00697B06"/>
    <w:rsid w:val="006B22DE"/>
    <w:rsid w:val="006D1296"/>
    <w:rsid w:val="006D74A6"/>
    <w:rsid w:val="006D7EC3"/>
    <w:rsid w:val="006E4816"/>
    <w:rsid w:val="006E500A"/>
    <w:rsid w:val="006F053B"/>
    <w:rsid w:val="006F49CA"/>
    <w:rsid w:val="006F785E"/>
    <w:rsid w:val="00702532"/>
    <w:rsid w:val="00707348"/>
    <w:rsid w:val="00707647"/>
    <w:rsid w:val="0072041D"/>
    <w:rsid w:val="00732A48"/>
    <w:rsid w:val="00743008"/>
    <w:rsid w:val="00755603"/>
    <w:rsid w:val="007558F2"/>
    <w:rsid w:val="00755A7A"/>
    <w:rsid w:val="00757D0E"/>
    <w:rsid w:val="00757E92"/>
    <w:rsid w:val="00786129"/>
    <w:rsid w:val="0079194A"/>
    <w:rsid w:val="007920B4"/>
    <w:rsid w:val="007A00EE"/>
    <w:rsid w:val="007A1025"/>
    <w:rsid w:val="007A24DC"/>
    <w:rsid w:val="007A777E"/>
    <w:rsid w:val="007B0BA5"/>
    <w:rsid w:val="007C5ECC"/>
    <w:rsid w:val="007D32D4"/>
    <w:rsid w:val="007D4AAE"/>
    <w:rsid w:val="007F303C"/>
    <w:rsid w:val="007F57CB"/>
    <w:rsid w:val="007F7D82"/>
    <w:rsid w:val="00804230"/>
    <w:rsid w:val="00807BB0"/>
    <w:rsid w:val="00814532"/>
    <w:rsid w:val="00815C06"/>
    <w:rsid w:val="00872030"/>
    <w:rsid w:val="008810C4"/>
    <w:rsid w:val="00881D6B"/>
    <w:rsid w:val="008831E7"/>
    <w:rsid w:val="00883BCC"/>
    <w:rsid w:val="00891A54"/>
    <w:rsid w:val="008A0062"/>
    <w:rsid w:val="008A3F37"/>
    <w:rsid w:val="008A4661"/>
    <w:rsid w:val="008B58CD"/>
    <w:rsid w:val="008D649C"/>
    <w:rsid w:val="008E2D33"/>
    <w:rsid w:val="008E6AF5"/>
    <w:rsid w:val="008F295E"/>
    <w:rsid w:val="008F38A0"/>
    <w:rsid w:val="008F5DF7"/>
    <w:rsid w:val="00905A0F"/>
    <w:rsid w:val="009120FC"/>
    <w:rsid w:val="0091533F"/>
    <w:rsid w:val="0093050B"/>
    <w:rsid w:val="00940BB5"/>
    <w:rsid w:val="00941AFF"/>
    <w:rsid w:val="00942559"/>
    <w:rsid w:val="00952A7A"/>
    <w:rsid w:val="00953978"/>
    <w:rsid w:val="00960891"/>
    <w:rsid w:val="00964197"/>
    <w:rsid w:val="009741EE"/>
    <w:rsid w:val="009744E9"/>
    <w:rsid w:val="00980F50"/>
    <w:rsid w:val="0099013A"/>
    <w:rsid w:val="009A0580"/>
    <w:rsid w:val="009A552B"/>
    <w:rsid w:val="009B66BD"/>
    <w:rsid w:val="009C2A42"/>
    <w:rsid w:val="009C3805"/>
    <w:rsid w:val="009C4E71"/>
    <w:rsid w:val="009C595B"/>
    <w:rsid w:val="009C6A84"/>
    <w:rsid w:val="009E7FA1"/>
    <w:rsid w:val="00A02E70"/>
    <w:rsid w:val="00A10441"/>
    <w:rsid w:val="00A12007"/>
    <w:rsid w:val="00A1666F"/>
    <w:rsid w:val="00A17357"/>
    <w:rsid w:val="00A27214"/>
    <w:rsid w:val="00A471E2"/>
    <w:rsid w:val="00A52DA0"/>
    <w:rsid w:val="00A55279"/>
    <w:rsid w:val="00A618B3"/>
    <w:rsid w:val="00A644A5"/>
    <w:rsid w:val="00A65FC3"/>
    <w:rsid w:val="00A96097"/>
    <w:rsid w:val="00A97F63"/>
    <w:rsid w:val="00AC44D2"/>
    <w:rsid w:val="00AC74B9"/>
    <w:rsid w:val="00AD2C45"/>
    <w:rsid w:val="00AD4F0B"/>
    <w:rsid w:val="00AE6DB3"/>
    <w:rsid w:val="00AF5F44"/>
    <w:rsid w:val="00B17DE5"/>
    <w:rsid w:val="00B34C65"/>
    <w:rsid w:val="00B40F04"/>
    <w:rsid w:val="00B60E90"/>
    <w:rsid w:val="00B85395"/>
    <w:rsid w:val="00B957F7"/>
    <w:rsid w:val="00B95B73"/>
    <w:rsid w:val="00BC7609"/>
    <w:rsid w:val="00BD0350"/>
    <w:rsid w:val="00BD089F"/>
    <w:rsid w:val="00BD0A5E"/>
    <w:rsid w:val="00BD0AE7"/>
    <w:rsid w:val="00BD34F2"/>
    <w:rsid w:val="00BD3CF6"/>
    <w:rsid w:val="00BD6AAA"/>
    <w:rsid w:val="00BE2F7E"/>
    <w:rsid w:val="00C010A4"/>
    <w:rsid w:val="00C34A15"/>
    <w:rsid w:val="00C35FFE"/>
    <w:rsid w:val="00C47EDA"/>
    <w:rsid w:val="00C539F4"/>
    <w:rsid w:val="00C619C0"/>
    <w:rsid w:val="00C65F17"/>
    <w:rsid w:val="00C81A2C"/>
    <w:rsid w:val="00CA3B19"/>
    <w:rsid w:val="00CA4196"/>
    <w:rsid w:val="00CA5350"/>
    <w:rsid w:val="00CB1667"/>
    <w:rsid w:val="00CB3B1B"/>
    <w:rsid w:val="00CB7BBF"/>
    <w:rsid w:val="00CC1B34"/>
    <w:rsid w:val="00CC7FF7"/>
    <w:rsid w:val="00CD33F0"/>
    <w:rsid w:val="00CD3CD9"/>
    <w:rsid w:val="00CE270F"/>
    <w:rsid w:val="00CE354F"/>
    <w:rsid w:val="00CE3BC0"/>
    <w:rsid w:val="00CE5B98"/>
    <w:rsid w:val="00CF4272"/>
    <w:rsid w:val="00CF4CB9"/>
    <w:rsid w:val="00CF61CB"/>
    <w:rsid w:val="00CF73E7"/>
    <w:rsid w:val="00D1202F"/>
    <w:rsid w:val="00D165A9"/>
    <w:rsid w:val="00D17FF1"/>
    <w:rsid w:val="00D427D3"/>
    <w:rsid w:val="00D51BFE"/>
    <w:rsid w:val="00D5459F"/>
    <w:rsid w:val="00D62AD6"/>
    <w:rsid w:val="00D66A1D"/>
    <w:rsid w:val="00D67712"/>
    <w:rsid w:val="00D71952"/>
    <w:rsid w:val="00D81B55"/>
    <w:rsid w:val="00D84395"/>
    <w:rsid w:val="00D90F47"/>
    <w:rsid w:val="00D93276"/>
    <w:rsid w:val="00D93C98"/>
    <w:rsid w:val="00DA6339"/>
    <w:rsid w:val="00DA7E7E"/>
    <w:rsid w:val="00DB5F94"/>
    <w:rsid w:val="00DC302B"/>
    <w:rsid w:val="00DC3992"/>
    <w:rsid w:val="00DC4D1F"/>
    <w:rsid w:val="00DC6989"/>
    <w:rsid w:val="00DC7D9D"/>
    <w:rsid w:val="00DE2B13"/>
    <w:rsid w:val="00DF223F"/>
    <w:rsid w:val="00DF6624"/>
    <w:rsid w:val="00E02F6B"/>
    <w:rsid w:val="00E03C52"/>
    <w:rsid w:val="00E12EC0"/>
    <w:rsid w:val="00E238F2"/>
    <w:rsid w:val="00E42EE3"/>
    <w:rsid w:val="00E4749A"/>
    <w:rsid w:val="00E53E23"/>
    <w:rsid w:val="00E77D28"/>
    <w:rsid w:val="00E825EA"/>
    <w:rsid w:val="00E84969"/>
    <w:rsid w:val="00E95D02"/>
    <w:rsid w:val="00EA0211"/>
    <w:rsid w:val="00EC4FAE"/>
    <w:rsid w:val="00EE1C92"/>
    <w:rsid w:val="00EF28A7"/>
    <w:rsid w:val="00F0673D"/>
    <w:rsid w:val="00F37371"/>
    <w:rsid w:val="00F402A5"/>
    <w:rsid w:val="00F42688"/>
    <w:rsid w:val="00F43D89"/>
    <w:rsid w:val="00F55D62"/>
    <w:rsid w:val="00F609D0"/>
    <w:rsid w:val="00F71862"/>
    <w:rsid w:val="00F84D07"/>
    <w:rsid w:val="00F967A0"/>
    <w:rsid w:val="00FA0391"/>
    <w:rsid w:val="00FB18CB"/>
    <w:rsid w:val="00FC17C9"/>
    <w:rsid w:val="00FD0792"/>
    <w:rsid w:val="00FD0DC7"/>
    <w:rsid w:val="00FD3EBD"/>
    <w:rsid w:val="00FD5CC0"/>
    <w:rsid w:val="00FD5D19"/>
    <w:rsid w:val="00FE7958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D4147"/>
  <w15:docId w15:val="{6CFC65FD-EB00-4A7B-9FCD-B03B6619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D0E"/>
  </w:style>
  <w:style w:type="paragraph" w:styleId="Titre1">
    <w:name w:val="heading 1"/>
    <w:basedOn w:val="Normal"/>
    <w:next w:val="Normal"/>
    <w:link w:val="Titre1Car"/>
    <w:uiPriority w:val="9"/>
    <w:qFormat/>
    <w:rsid w:val="00757D0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57D0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57D0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57D0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57D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57D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57D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57D0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57D0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7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74B9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757D0E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Paragraphedeliste">
    <w:name w:val="List Paragraph"/>
    <w:basedOn w:val="Normal"/>
    <w:uiPriority w:val="34"/>
    <w:qFormat/>
    <w:rsid w:val="00154F5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E5B98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069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69F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69F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69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69FC"/>
    <w:rPr>
      <w:b/>
      <w:b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57D0E"/>
    <w:pPr>
      <w:outlineLvl w:val="9"/>
    </w:pPr>
  </w:style>
  <w:style w:type="paragraph" w:styleId="TM2">
    <w:name w:val="toc 2"/>
    <w:basedOn w:val="Normal"/>
    <w:next w:val="Normal"/>
    <w:autoRedefine/>
    <w:uiPriority w:val="39"/>
    <w:unhideWhenUsed/>
    <w:rsid w:val="00BD0350"/>
    <w:pPr>
      <w:spacing w:after="100"/>
      <w:ind w:left="220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BD0350"/>
    <w:pPr>
      <w:spacing w:after="100"/>
    </w:pPr>
    <w:rPr>
      <w:lang w:eastAsia="fr-FR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BD0350"/>
    <w:pPr>
      <w:spacing w:after="100"/>
      <w:ind w:left="440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57D0E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DB5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5F94"/>
  </w:style>
  <w:style w:type="paragraph" w:styleId="Pieddepage">
    <w:name w:val="footer"/>
    <w:basedOn w:val="Normal"/>
    <w:link w:val="PieddepageCar"/>
    <w:uiPriority w:val="99"/>
    <w:unhideWhenUsed/>
    <w:rsid w:val="00DB5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5F94"/>
  </w:style>
  <w:style w:type="character" w:customStyle="1" w:styleId="Titre3Car">
    <w:name w:val="Titre 3 Car"/>
    <w:basedOn w:val="Policepardfaut"/>
    <w:link w:val="Titre3"/>
    <w:uiPriority w:val="9"/>
    <w:semiHidden/>
    <w:rsid w:val="00757D0E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57D0E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757D0E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757D0E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757D0E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757D0E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57D0E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57D0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757D0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757D0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57D0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757D0E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757D0E"/>
    <w:rPr>
      <w:b/>
      <w:bCs/>
    </w:rPr>
  </w:style>
  <w:style w:type="character" w:styleId="Accentuation">
    <w:name w:val="Emphasis"/>
    <w:basedOn w:val="Policepardfaut"/>
    <w:uiPriority w:val="20"/>
    <w:qFormat/>
    <w:rsid w:val="00757D0E"/>
    <w:rPr>
      <w:i/>
      <w:iCs/>
      <w:color w:val="F79646" w:themeColor="accent6"/>
    </w:rPr>
  </w:style>
  <w:style w:type="paragraph" w:styleId="Sansinterligne">
    <w:name w:val="No Spacing"/>
    <w:uiPriority w:val="1"/>
    <w:qFormat/>
    <w:rsid w:val="00757D0E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757D0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757D0E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57D0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57D0E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757D0E"/>
    <w:rPr>
      <w:i/>
      <w:iCs/>
    </w:rPr>
  </w:style>
  <w:style w:type="character" w:styleId="Emphaseintense">
    <w:name w:val="Intense Emphasis"/>
    <w:basedOn w:val="Policepardfaut"/>
    <w:uiPriority w:val="21"/>
    <w:qFormat/>
    <w:rsid w:val="00757D0E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757D0E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757D0E"/>
    <w:rPr>
      <w:b/>
      <w:bCs/>
      <w:smallCaps/>
      <w:color w:val="F79646" w:themeColor="accent6"/>
    </w:rPr>
  </w:style>
  <w:style w:type="character" w:styleId="Titredulivre">
    <w:name w:val="Book Title"/>
    <w:basedOn w:val="Policepardfaut"/>
    <w:uiPriority w:val="33"/>
    <w:qFormat/>
    <w:rsid w:val="00757D0E"/>
    <w:rPr>
      <w:b/>
      <w:bCs/>
      <w:caps w:val="0"/>
      <w:smallCaps/>
      <w:spacing w:val="7"/>
      <w:sz w:val="21"/>
      <w:szCs w:val="21"/>
    </w:rPr>
  </w:style>
  <w:style w:type="character" w:styleId="Lienhypertextesuivivisit">
    <w:name w:val="FollowedHyperlink"/>
    <w:basedOn w:val="Policepardfaut"/>
    <w:uiPriority w:val="99"/>
    <w:semiHidden/>
    <w:unhideWhenUsed/>
    <w:rsid w:val="006915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2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e-odile.illiano@enseignementsup.gouv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dile.contat@enseignementsup.gouv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hislaine.gauthier-mestron@recherche.gouv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dile.contat@enseignementsup.gouv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B38C1-3727-4137-A505-6B966F975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8</Pages>
  <Words>1421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MARIE-ODILE ILLIANO</cp:lastModifiedBy>
  <cp:revision>42</cp:revision>
  <cp:lastPrinted>2023-10-05T06:59:00Z</cp:lastPrinted>
  <dcterms:created xsi:type="dcterms:W3CDTF">2023-01-06T14:22:00Z</dcterms:created>
  <dcterms:modified xsi:type="dcterms:W3CDTF">2023-10-05T07:09:00Z</dcterms:modified>
</cp:coreProperties>
</file>